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A6" w:rsidRDefault="001D08A6" w:rsidP="001D08A6">
      <w:pPr>
        <w:jc w:val="both"/>
        <w:rPr>
          <w:b/>
        </w:rPr>
      </w:pPr>
      <w:r>
        <w:rPr>
          <w:b/>
        </w:rPr>
        <w:t>Syllabus</w:t>
      </w:r>
    </w:p>
    <w:p w:rsidR="001D08A6" w:rsidRDefault="001D08A6" w:rsidP="001D08A6">
      <w:pPr>
        <w:jc w:val="both"/>
        <w:rPr>
          <w:b/>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tblPr>
      <w:tblGrid>
        <w:gridCol w:w="2504"/>
        <w:gridCol w:w="1276"/>
        <w:gridCol w:w="709"/>
        <w:gridCol w:w="2126"/>
        <w:gridCol w:w="2693"/>
      </w:tblGrid>
      <w:tr w:rsidR="001D08A6" w:rsidTr="00147E12">
        <w:tblPrEx>
          <w:tblCellMar>
            <w:top w:w="0" w:type="dxa"/>
            <w:bottom w:w="0" w:type="dxa"/>
          </w:tblCellMar>
        </w:tblPrEx>
        <w:trPr>
          <w:cantSplit/>
          <w:trHeight w:val="1037"/>
        </w:trPr>
        <w:tc>
          <w:tcPr>
            <w:tcW w:w="2504" w:type="dxa"/>
            <w:tcBorders>
              <w:top w:val="single" w:sz="4" w:space="0" w:color="auto"/>
            </w:tcBorders>
            <w:vAlign w:val="center"/>
          </w:tcPr>
          <w:p w:rsidR="001D08A6" w:rsidRDefault="001D08A6" w:rsidP="00147E12">
            <w:pPr>
              <w:jc w:val="center"/>
              <w:rPr>
                <w:lang w:val="en-US"/>
              </w:rPr>
            </w:pPr>
            <w:r>
              <w:rPr>
                <w:lang w:val="en-US"/>
              </w:rPr>
              <w:t>TOPICS</w:t>
            </w:r>
          </w:p>
        </w:tc>
        <w:tc>
          <w:tcPr>
            <w:tcW w:w="1276" w:type="dxa"/>
            <w:tcBorders>
              <w:top w:val="single" w:sz="4" w:space="0" w:color="auto"/>
            </w:tcBorders>
            <w:vAlign w:val="center"/>
          </w:tcPr>
          <w:p w:rsidR="001D08A6" w:rsidRDefault="001D08A6" w:rsidP="00147E12">
            <w:pPr>
              <w:jc w:val="center"/>
              <w:rPr>
                <w:lang w:val="en-US"/>
              </w:rPr>
            </w:pPr>
            <w:r>
              <w:rPr>
                <w:lang w:val="en-US"/>
              </w:rPr>
              <w:t>RESOURCE PERSON</w:t>
            </w:r>
          </w:p>
        </w:tc>
        <w:tc>
          <w:tcPr>
            <w:tcW w:w="709" w:type="dxa"/>
            <w:tcBorders>
              <w:top w:val="single" w:sz="4" w:space="0" w:color="auto"/>
            </w:tcBorders>
            <w:textDirection w:val="btLr"/>
            <w:vAlign w:val="center"/>
          </w:tcPr>
          <w:p w:rsidR="001D08A6" w:rsidRDefault="001D08A6" w:rsidP="00147E12">
            <w:pPr>
              <w:ind w:left="113" w:right="113"/>
              <w:jc w:val="center"/>
              <w:rPr>
                <w:lang w:val="en-US"/>
              </w:rPr>
            </w:pPr>
            <w:r>
              <w:rPr>
                <w:lang w:val="en-US"/>
              </w:rPr>
              <w:t>NO. OF HOURS</w:t>
            </w:r>
          </w:p>
        </w:tc>
        <w:tc>
          <w:tcPr>
            <w:tcW w:w="2126" w:type="dxa"/>
            <w:tcBorders>
              <w:top w:val="single" w:sz="4" w:space="0" w:color="auto"/>
            </w:tcBorders>
            <w:vAlign w:val="center"/>
          </w:tcPr>
          <w:p w:rsidR="001D08A6" w:rsidRDefault="001D08A6" w:rsidP="00147E12">
            <w:pPr>
              <w:jc w:val="center"/>
              <w:rPr>
                <w:lang w:val="en-US"/>
              </w:rPr>
            </w:pPr>
            <w:r>
              <w:rPr>
                <w:lang w:val="en-US"/>
              </w:rPr>
              <w:t>TEACHING MODE</w:t>
            </w:r>
          </w:p>
        </w:tc>
        <w:tc>
          <w:tcPr>
            <w:tcW w:w="2693" w:type="dxa"/>
            <w:tcBorders>
              <w:top w:val="single" w:sz="4" w:space="0" w:color="auto"/>
            </w:tcBorders>
            <w:vAlign w:val="center"/>
          </w:tcPr>
          <w:p w:rsidR="001D08A6" w:rsidRDefault="001D08A6" w:rsidP="00147E12">
            <w:pPr>
              <w:jc w:val="center"/>
              <w:rPr>
                <w:lang w:val="en-US"/>
              </w:rPr>
            </w:pPr>
            <w:r>
              <w:rPr>
                <w:lang w:val="en-US"/>
              </w:rPr>
              <w:t>DISCUSSION POINTS</w:t>
            </w:r>
          </w:p>
        </w:tc>
      </w:tr>
      <w:tr w:rsidR="001D08A6" w:rsidTr="00147E12">
        <w:tblPrEx>
          <w:tblCellMar>
            <w:top w:w="0" w:type="dxa"/>
            <w:bottom w:w="0" w:type="dxa"/>
          </w:tblCellMar>
        </w:tblPrEx>
        <w:trPr>
          <w:cantSplit/>
          <w:trHeight w:val="1250"/>
        </w:trPr>
        <w:tc>
          <w:tcPr>
            <w:tcW w:w="2504" w:type="dxa"/>
            <w:tcBorders>
              <w:top w:val="nil"/>
            </w:tcBorders>
          </w:tcPr>
          <w:p w:rsidR="001D08A6" w:rsidRDefault="001D08A6" w:rsidP="00147E12">
            <w:pPr>
              <w:spacing w:after="120"/>
              <w:rPr>
                <w:lang w:val="en-US"/>
              </w:rPr>
            </w:pPr>
            <w:r>
              <w:rPr>
                <w:b/>
                <w:lang w:val="en-US"/>
              </w:rPr>
              <w:t>I. Identity concepts</w:t>
            </w:r>
            <w:r>
              <w:rPr>
                <w:lang w:val="en-US"/>
              </w:rPr>
              <w:t xml:space="preserve"> </w:t>
            </w:r>
            <w:r>
              <w:rPr>
                <w:lang w:val="en-US"/>
              </w:rPr>
              <w:br/>
              <w:t>in history, literature, philo</w:t>
            </w:r>
            <w:r>
              <w:rPr>
                <w:lang w:val="en-US"/>
              </w:rPr>
              <w:t>s</w:t>
            </w:r>
            <w:r>
              <w:rPr>
                <w:lang w:val="en-US"/>
              </w:rPr>
              <w:t>ophy (feminist theory), psychoanalysis, sociology.</w:t>
            </w:r>
          </w:p>
          <w:p w:rsidR="001D08A6" w:rsidRDefault="001D08A6" w:rsidP="00147E12">
            <w:pPr>
              <w:pStyle w:val="BodyText2"/>
            </w:pPr>
            <w:r>
              <w:t>Case examples of cross-border ident</w:t>
            </w:r>
            <w:r>
              <w:t>i</w:t>
            </w:r>
            <w:r>
              <w:t>ties</w:t>
            </w:r>
          </w:p>
          <w:p w:rsidR="001D08A6" w:rsidRDefault="001D08A6" w:rsidP="001D08A6">
            <w:pPr>
              <w:numPr>
                <w:ilvl w:val="0"/>
                <w:numId w:val="1"/>
              </w:numPr>
              <w:rPr>
                <w:lang w:val="en-US"/>
              </w:rPr>
            </w:pPr>
            <w:r>
              <w:rPr>
                <w:lang w:val="en-US"/>
              </w:rPr>
              <w:t xml:space="preserve">Jewish Identities </w:t>
            </w:r>
          </w:p>
          <w:p w:rsidR="001D08A6" w:rsidRDefault="001D08A6" w:rsidP="001D08A6">
            <w:pPr>
              <w:numPr>
                <w:ilvl w:val="0"/>
                <w:numId w:val="2"/>
              </w:numPr>
              <w:ind w:left="357" w:hanging="357"/>
              <w:rPr>
                <w:lang w:val="en-US"/>
              </w:rPr>
            </w:pPr>
            <w:r>
              <w:rPr>
                <w:lang w:val="en-US"/>
              </w:rPr>
              <w:t>Migration identities</w:t>
            </w:r>
          </w:p>
        </w:tc>
        <w:tc>
          <w:tcPr>
            <w:tcW w:w="1276" w:type="dxa"/>
            <w:tcBorders>
              <w:top w:val="nil"/>
            </w:tcBorders>
          </w:tcPr>
          <w:p w:rsidR="001D08A6" w:rsidRDefault="001D08A6" w:rsidP="00147E12">
            <w:pPr>
              <w:pStyle w:val="Footer"/>
              <w:tabs>
                <w:tab w:val="clear" w:pos="4536"/>
                <w:tab w:val="clear" w:pos="9072"/>
              </w:tabs>
              <w:spacing w:before="240"/>
              <w:rPr>
                <w:lang w:val="en-US"/>
              </w:rPr>
            </w:pPr>
            <w:r>
              <w:rPr>
                <w:lang w:val="en-US"/>
              </w:rPr>
              <w:t>M. P</w:t>
            </w:r>
            <w:r>
              <w:rPr>
                <w:lang w:val="en-US"/>
              </w:rPr>
              <w:t>e</w:t>
            </w:r>
            <w:r>
              <w:rPr>
                <w:lang w:val="en-US"/>
              </w:rPr>
              <w:t xml:space="preserve">terson </w:t>
            </w:r>
          </w:p>
          <w:p w:rsidR="001D08A6" w:rsidRDefault="001D08A6" w:rsidP="00147E12">
            <w:pPr>
              <w:pStyle w:val="Footer"/>
              <w:tabs>
                <w:tab w:val="clear" w:pos="4536"/>
                <w:tab w:val="clear" w:pos="9072"/>
              </w:tabs>
              <w:rPr>
                <w:lang w:val="en-US"/>
              </w:rPr>
            </w:pPr>
            <w:r>
              <w:rPr>
                <w:lang w:val="en-US"/>
              </w:rPr>
              <w:t xml:space="preserve">M. </w:t>
            </w:r>
            <w:proofErr w:type="spellStart"/>
            <w:r>
              <w:rPr>
                <w:lang w:val="en-US"/>
              </w:rPr>
              <w:t>Miroiu</w:t>
            </w:r>
            <w:proofErr w:type="spellEnd"/>
          </w:p>
          <w:p w:rsidR="001D08A6" w:rsidRDefault="001D08A6" w:rsidP="00147E12">
            <w:pPr>
              <w:pStyle w:val="Footer"/>
              <w:tabs>
                <w:tab w:val="clear" w:pos="4536"/>
                <w:tab w:val="clear" w:pos="9072"/>
              </w:tabs>
              <w:rPr>
                <w:lang w:val="en-US"/>
              </w:rPr>
            </w:pPr>
            <w:r>
              <w:rPr>
                <w:lang w:val="en-US"/>
              </w:rPr>
              <w:t xml:space="preserve">J. </w:t>
            </w:r>
            <w:proofErr w:type="spellStart"/>
            <w:r>
              <w:rPr>
                <w:lang w:val="en-US"/>
              </w:rPr>
              <w:t>Vajda</w:t>
            </w:r>
            <w:proofErr w:type="spellEnd"/>
          </w:p>
          <w:p w:rsidR="001D08A6" w:rsidRDefault="001D08A6" w:rsidP="00147E12">
            <w:pPr>
              <w:rPr>
                <w:lang w:val="en-US"/>
              </w:rPr>
            </w:pPr>
            <w:r>
              <w:rPr>
                <w:lang w:val="en-US"/>
              </w:rPr>
              <w:t xml:space="preserve">E. </w:t>
            </w:r>
            <w:proofErr w:type="spellStart"/>
            <w:r>
              <w:rPr>
                <w:lang w:val="en-US"/>
              </w:rPr>
              <w:t>Kovács</w:t>
            </w:r>
            <w:proofErr w:type="spellEnd"/>
          </w:p>
          <w:p w:rsidR="001D08A6" w:rsidRDefault="001D08A6" w:rsidP="00147E12">
            <w:pPr>
              <w:pStyle w:val="Footer"/>
              <w:tabs>
                <w:tab w:val="clear" w:pos="4536"/>
                <w:tab w:val="clear" w:pos="9072"/>
              </w:tabs>
              <w:rPr>
                <w:lang w:val="en-US"/>
              </w:rPr>
            </w:pPr>
            <w:r>
              <w:rPr>
                <w:lang w:val="en-US"/>
              </w:rPr>
              <w:t xml:space="preserve">R. </w:t>
            </w:r>
            <w:proofErr w:type="spellStart"/>
            <w:r>
              <w:rPr>
                <w:lang w:val="en-US"/>
              </w:rPr>
              <w:t>Breckner</w:t>
            </w:r>
            <w:proofErr w:type="spellEnd"/>
          </w:p>
          <w:p w:rsidR="001D08A6" w:rsidRDefault="001D08A6" w:rsidP="00147E12">
            <w:pPr>
              <w:pStyle w:val="Footer"/>
              <w:tabs>
                <w:tab w:val="clear" w:pos="4536"/>
                <w:tab w:val="clear" w:pos="9072"/>
              </w:tabs>
              <w:rPr>
                <w:lang w:val="en-US"/>
              </w:rPr>
            </w:pPr>
            <w:r>
              <w:rPr>
                <w:lang w:val="en-US"/>
              </w:rPr>
              <w:t xml:space="preserve">A. </w:t>
            </w:r>
            <w:proofErr w:type="spellStart"/>
            <w:r>
              <w:rPr>
                <w:lang w:val="en-US"/>
              </w:rPr>
              <w:t>Melegh</w:t>
            </w:r>
            <w:proofErr w:type="spellEnd"/>
          </w:p>
        </w:tc>
        <w:tc>
          <w:tcPr>
            <w:tcW w:w="709" w:type="dxa"/>
            <w:tcBorders>
              <w:top w:val="nil"/>
            </w:tcBorders>
          </w:tcPr>
          <w:p w:rsidR="001D08A6" w:rsidRDefault="001D08A6" w:rsidP="00147E12">
            <w:pPr>
              <w:spacing w:after="120"/>
              <w:jc w:val="center"/>
              <w:rPr>
                <w:lang w:val="en-US"/>
              </w:rPr>
            </w:pPr>
          </w:p>
          <w:p w:rsidR="001D08A6" w:rsidRDefault="001D08A6" w:rsidP="00147E12">
            <w:pPr>
              <w:spacing w:after="120"/>
              <w:jc w:val="center"/>
              <w:rPr>
                <w:lang w:val="en-US"/>
              </w:rPr>
            </w:pPr>
          </w:p>
          <w:p w:rsidR="001D08A6" w:rsidRDefault="001D08A6" w:rsidP="00147E12">
            <w:pPr>
              <w:spacing w:after="120"/>
              <w:jc w:val="center"/>
              <w:rPr>
                <w:lang w:val="en-US"/>
              </w:rPr>
            </w:pPr>
            <w:r>
              <w:rPr>
                <w:lang w:val="en-US"/>
              </w:rPr>
              <w:t>18</w:t>
            </w:r>
          </w:p>
        </w:tc>
        <w:tc>
          <w:tcPr>
            <w:tcW w:w="2126" w:type="dxa"/>
            <w:tcBorders>
              <w:top w:val="nil"/>
            </w:tcBorders>
          </w:tcPr>
          <w:p w:rsidR="001D08A6" w:rsidRDefault="001D08A6" w:rsidP="00147E12">
            <w:pPr>
              <w:spacing w:after="120"/>
              <w:jc w:val="center"/>
              <w:rPr>
                <w:lang w:val="en-US"/>
              </w:rPr>
            </w:pPr>
          </w:p>
          <w:p w:rsidR="001D08A6" w:rsidRDefault="001D08A6" w:rsidP="00147E12">
            <w:pPr>
              <w:spacing w:after="120"/>
              <w:jc w:val="center"/>
              <w:rPr>
                <w:lang w:val="en-US"/>
              </w:rPr>
            </w:pPr>
            <w:r>
              <w:rPr>
                <w:lang w:val="en-US"/>
              </w:rPr>
              <w:t>Lecture and participant discussions, present</w:t>
            </w:r>
            <w:r>
              <w:rPr>
                <w:lang w:val="en-US"/>
              </w:rPr>
              <w:t>a</w:t>
            </w:r>
            <w:r>
              <w:rPr>
                <w:lang w:val="en-US"/>
              </w:rPr>
              <w:t>tions of case exa</w:t>
            </w:r>
            <w:r>
              <w:rPr>
                <w:lang w:val="en-US"/>
              </w:rPr>
              <w:t>m</w:t>
            </w:r>
            <w:r>
              <w:rPr>
                <w:lang w:val="en-US"/>
              </w:rPr>
              <w:t>ples</w:t>
            </w:r>
          </w:p>
        </w:tc>
        <w:tc>
          <w:tcPr>
            <w:tcW w:w="2693" w:type="dxa"/>
            <w:tcBorders>
              <w:top w:val="nil"/>
            </w:tcBorders>
          </w:tcPr>
          <w:p w:rsidR="001D08A6" w:rsidRDefault="001D08A6" w:rsidP="00147E12">
            <w:pPr>
              <w:pStyle w:val="BodyText2"/>
            </w:pPr>
            <w:r>
              <w:t>Basic concepts of individual and collective identity, how they changed in long term history, and presently di</w:t>
            </w:r>
            <w:r>
              <w:t>s</w:t>
            </w:r>
            <w:r>
              <w:t>cussed new concepts with a focus on the relations to ‘ot</w:t>
            </w:r>
            <w:r>
              <w:t>h</w:t>
            </w:r>
            <w:r>
              <w:t xml:space="preserve">ers’. </w:t>
            </w:r>
          </w:p>
          <w:p w:rsidR="001D08A6" w:rsidRDefault="001D08A6" w:rsidP="00147E12">
            <w:pPr>
              <w:pStyle w:val="Footer"/>
              <w:tabs>
                <w:tab w:val="clear" w:pos="4536"/>
                <w:tab w:val="clear" w:pos="9072"/>
              </w:tabs>
              <w:rPr>
                <w:lang w:val="en-US"/>
              </w:rPr>
            </w:pPr>
            <w:r>
              <w:rPr>
                <w:lang w:val="en-US"/>
              </w:rPr>
              <w:t>Discussion and comparison of concrete experiences of cross-border and changing identities</w:t>
            </w:r>
          </w:p>
        </w:tc>
      </w:tr>
      <w:tr w:rsidR="001D08A6" w:rsidTr="00147E12">
        <w:tblPrEx>
          <w:tblCellMar>
            <w:top w:w="0" w:type="dxa"/>
            <w:bottom w:w="0" w:type="dxa"/>
          </w:tblCellMar>
        </w:tblPrEx>
        <w:tc>
          <w:tcPr>
            <w:tcW w:w="2504" w:type="dxa"/>
          </w:tcPr>
          <w:p w:rsidR="001D08A6" w:rsidRDefault="001D08A6" w:rsidP="00147E12">
            <w:pPr>
              <w:spacing w:after="120"/>
              <w:rPr>
                <w:b/>
                <w:lang w:val="en-US"/>
              </w:rPr>
            </w:pPr>
            <w:r>
              <w:rPr>
                <w:b/>
                <w:lang w:val="en-US"/>
              </w:rPr>
              <w:t>II. A theoretical basis of understanding and inte</w:t>
            </w:r>
            <w:r>
              <w:rPr>
                <w:b/>
                <w:lang w:val="en-US"/>
              </w:rPr>
              <w:t>r</w:t>
            </w:r>
            <w:r>
              <w:rPr>
                <w:b/>
                <w:lang w:val="en-US"/>
              </w:rPr>
              <w:t>pretation: hermeneutics</w:t>
            </w:r>
          </w:p>
          <w:p w:rsidR="001D08A6" w:rsidRDefault="001D08A6" w:rsidP="00147E12">
            <w:pPr>
              <w:pStyle w:val="Footer"/>
              <w:tabs>
                <w:tab w:val="clear" w:pos="4536"/>
                <w:tab w:val="clear" w:pos="9072"/>
              </w:tabs>
              <w:rPr>
                <w:b/>
                <w:lang w:val="en-US"/>
              </w:rPr>
            </w:pPr>
            <w:r>
              <w:rPr>
                <w:lang w:val="en-US"/>
              </w:rPr>
              <w:t>Introduction into the philosophy of herm</w:t>
            </w:r>
            <w:r>
              <w:rPr>
                <w:lang w:val="en-US"/>
              </w:rPr>
              <w:t>e</w:t>
            </w:r>
            <w:r>
              <w:rPr>
                <w:lang w:val="en-US"/>
              </w:rPr>
              <w:t>neutics.</w:t>
            </w:r>
          </w:p>
        </w:tc>
        <w:tc>
          <w:tcPr>
            <w:tcW w:w="1276" w:type="dxa"/>
          </w:tcPr>
          <w:p w:rsidR="001D08A6" w:rsidRDefault="001D08A6" w:rsidP="00147E12">
            <w:pPr>
              <w:rPr>
                <w:lang w:val="en-US"/>
              </w:rPr>
            </w:pPr>
          </w:p>
          <w:p w:rsidR="001D08A6" w:rsidRDefault="001D08A6" w:rsidP="00147E12">
            <w:pPr>
              <w:rPr>
                <w:lang w:val="en-US"/>
              </w:rPr>
            </w:pPr>
          </w:p>
          <w:p w:rsidR="001D08A6" w:rsidRDefault="001D08A6" w:rsidP="00147E12">
            <w:pPr>
              <w:rPr>
                <w:lang w:val="en-US"/>
              </w:rPr>
            </w:pPr>
            <w:r>
              <w:rPr>
                <w:lang w:val="en-US"/>
              </w:rPr>
              <w:t xml:space="preserve">M. </w:t>
            </w:r>
            <w:proofErr w:type="spellStart"/>
            <w:r>
              <w:rPr>
                <w:lang w:val="en-US"/>
              </w:rPr>
              <w:t>Vajda</w:t>
            </w:r>
            <w:proofErr w:type="spellEnd"/>
          </w:p>
        </w:tc>
        <w:tc>
          <w:tcPr>
            <w:tcW w:w="709" w:type="dxa"/>
          </w:tcPr>
          <w:p w:rsidR="001D08A6" w:rsidRDefault="001D08A6" w:rsidP="00147E12">
            <w:pPr>
              <w:jc w:val="center"/>
              <w:rPr>
                <w:lang w:val="en-US"/>
              </w:rPr>
            </w:pPr>
          </w:p>
          <w:p w:rsidR="001D08A6" w:rsidRDefault="001D08A6" w:rsidP="00147E12">
            <w:pPr>
              <w:jc w:val="center"/>
              <w:rPr>
                <w:lang w:val="en-US"/>
              </w:rPr>
            </w:pPr>
          </w:p>
          <w:p w:rsidR="001D08A6" w:rsidRDefault="001D08A6" w:rsidP="00147E12">
            <w:pPr>
              <w:jc w:val="center"/>
              <w:rPr>
                <w:lang w:val="en-US"/>
              </w:rPr>
            </w:pPr>
            <w:r>
              <w:rPr>
                <w:lang w:val="en-US"/>
              </w:rPr>
              <w:t>2</w:t>
            </w:r>
          </w:p>
        </w:tc>
        <w:tc>
          <w:tcPr>
            <w:tcW w:w="2126" w:type="dxa"/>
          </w:tcPr>
          <w:p w:rsidR="001D08A6" w:rsidRDefault="001D08A6" w:rsidP="00147E12">
            <w:pPr>
              <w:rPr>
                <w:lang w:val="en-US"/>
              </w:rPr>
            </w:pPr>
          </w:p>
          <w:p w:rsidR="001D08A6" w:rsidRDefault="001D08A6" w:rsidP="00147E12">
            <w:pPr>
              <w:rPr>
                <w:lang w:val="en-US"/>
              </w:rPr>
            </w:pPr>
          </w:p>
          <w:p w:rsidR="001D08A6" w:rsidRDefault="001D08A6" w:rsidP="00147E12">
            <w:pPr>
              <w:pStyle w:val="Footer"/>
              <w:widowControl w:val="0"/>
              <w:tabs>
                <w:tab w:val="clear" w:pos="4536"/>
                <w:tab w:val="clear" w:pos="9072"/>
              </w:tabs>
              <w:jc w:val="center"/>
              <w:rPr>
                <w:snapToGrid w:val="0"/>
                <w:lang w:val="en-US"/>
              </w:rPr>
            </w:pPr>
            <w:r>
              <w:rPr>
                <w:snapToGrid w:val="0"/>
                <w:lang w:val="en-US"/>
              </w:rPr>
              <w:t>Lecture with discussion</w:t>
            </w:r>
          </w:p>
        </w:tc>
        <w:tc>
          <w:tcPr>
            <w:tcW w:w="2693" w:type="dxa"/>
          </w:tcPr>
          <w:p w:rsidR="001D08A6" w:rsidRDefault="001D08A6" w:rsidP="00147E12">
            <w:pPr>
              <w:pStyle w:val="BodyText2"/>
            </w:pPr>
          </w:p>
          <w:p w:rsidR="001D08A6" w:rsidRDefault="001D08A6" w:rsidP="00147E12">
            <w:pPr>
              <w:pStyle w:val="BodyText2"/>
            </w:pPr>
            <w:r>
              <w:t>The possibilities of unde</w:t>
            </w:r>
            <w:r>
              <w:t>r</w:t>
            </w:r>
            <w:r>
              <w:t>standing of different pheno</w:t>
            </w:r>
            <w:r>
              <w:t>m</w:t>
            </w:r>
            <w:r>
              <w:t>ena, especially “the other”</w:t>
            </w:r>
          </w:p>
        </w:tc>
      </w:tr>
      <w:tr w:rsidR="001D08A6" w:rsidTr="00147E12">
        <w:tblPrEx>
          <w:tblCellMar>
            <w:top w:w="0" w:type="dxa"/>
            <w:bottom w:w="0" w:type="dxa"/>
          </w:tblCellMar>
        </w:tblPrEx>
        <w:tc>
          <w:tcPr>
            <w:tcW w:w="2504" w:type="dxa"/>
          </w:tcPr>
          <w:p w:rsidR="001D08A6" w:rsidRDefault="001D08A6" w:rsidP="00147E12">
            <w:pPr>
              <w:spacing w:before="120" w:after="120"/>
              <w:rPr>
                <w:b/>
                <w:lang w:val="en-US"/>
              </w:rPr>
            </w:pPr>
            <w:r>
              <w:rPr>
                <w:b/>
                <w:lang w:val="en-US"/>
              </w:rPr>
              <w:t>III. East – West before and after 1989</w:t>
            </w:r>
          </w:p>
          <w:p w:rsidR="001D08A6" w:rsidRDefault="001D08A6" w:rsidP="00147E12">
            <w:pPr>
              <w:pStyle w:val="Footer"/>
              <w:tabs>
                <w:tab w:val="clear" w:pos="4536"/>
                <w:tab w:val="clear" w:pos="9072"/>
              </w:tabs>
              <w:spacing w:before="120" w:after="120"/>
              <w:rPr>
                <w:lang w:val="en-US"/>
              </w:rPr>
            </w:pPr>
            <w:r>
              <w:rPr>
                <w:lang w:val="en-US"/>
              </w:rPr>
              <w:t>Borders: Contingent closure</w:t>
            </w:r>
          </w:p>
          <w:p w:rsidR="001D08A6" w:rsidRDefault="001D08A6" w:rsidP="00147E12">
            <w:pPr>
              <w:pStyle w:val="Footer"/>
              <w:tabs>
                <w:tab w:val="clear" w:pos="4536"/>
                <w:tab w:val="clear" w:pos="9072"/>
              </w:tabs>
              <w:spacing w:before="120" w:after="120"/>
              <w:rPr>
                <w:lang w:val="en-US"/>
              </w:rPr>
            </w:pPr>
            <w:r>
              <w:rPr>
                <w:lang w:val="en-US"/>
              </w:rPr>
              <w:t>How did the characteristics of and differences between Eastern and Western Eur</w:t>
            </w:r>
            <w:r>
              <w:rPr>
                <w:lang w:val="en-US"/>
              </w:rPr>
              <w:t>o</w:t>
            </w:r>
            <w:r>
              <w:rPr>
                <w:lang w:val="en-US"/>
              </w:rPr>
              <w:t>pean societies develop after 1945?</w:t>
            </w:r>
          </w:p>
        </w:tc>
        <w:tc>
          <w:tcPr>
            <w:tcW w:w="1276" w:type="dxa"/>
          </w:tcPr>
          <w:p w:rsidR="001D08A6" w:rsidRDefault="001D08A6" w:rsidP="00147E12">
            <w:pPr>
              <w:rPr>
                <w:lang w:val="en-US"/>
              </w:rPr>
            </w:pPr>
          </w:p>
          <w:p w:rsidR="001D08A6" w:rsidRDefault="001D08A6" w:rsidP="00147E12">
            <w:pPr>
              <w:rPr>
                <w:lang w:val="en-US"/>
              </w:rPr>
            </w:pPr>
          </w:p>
          <w:p w:rsidR="001D08A6" w:rsidRDefault="001D08A6" w:rsidP="00147E12">
            <w:pPr>
              <w:rPr>
                <w:lang w:val="en-US"/>
              </w:rPr>
            </w:pPr>
          </w:p>
          <w:p w:rsidR="001D08A6" w:rsidRDefault="001D08A6" w:rsidP="00147E12">
            <w:pPr>
              <w:pStyle w:val="Footer"/>
              <w:tabs>
                <w:tab w:val="clear" w:pos="4536"/>
                <w:tab w:val="clear" w:pos="9072"/>
              </w:tabs>
              <w:spacing w:before="120"/>
              <w:rPr>
                <w:lang w:val="en-US"/>
              </w:rPr>
            </w:pPr>
            <w:r>
              <w:rPr>
                <w:lang w:val="en-US"/>
              </w:rPr>
              <w:t xml:space="preserve">J. </w:t>
            </w:r>
            <w:proofErr w:type="spellStart"/>
            <w:r>
              <w:rPr>
                <w:lang w:val="en-US"/>
              </w:rPr>
              <w:t>Böröcz</w:t>
            </w:r>
            <w:proofErr w:type="spellEnd"/>
          </w:p>
          <w:p w:rsidR="001D08A6" w:rsidRDefault="001D08A6" w:rsidP="00147E12">
            <w:pPr>
              <w:rPr>
                <w:lang w:val="en-US"/>
              </w:rPr>
            </w:pPr>
          </w:p>
          <w:p w:rsidR="001D08A6" w:rsidRDefault="001D08A6" w:rsidP="00147E12">
            <w:pPr>
              <w:rPr>
                <w:lang w:val="en-US"/>
              </w:rPr>
            </w:pPr>
            <w:r>
              <w:rPr>
                <w:lang w:val="en-US"/>
              </w:rPr>
              <w:t xml:space="preserve">A. </w:t>
            </w:r>
            <w:proofErr w:type="spellStart"/>
            <w:r>
              <w:rPr>
                <w:lang w:val="en-US"/>
              </w:rPr>
              <w:t>M</w:t>
            </w:r>
            <w:r>
              <w:rPr>
                <w:lang w:val="en-US"/>
              </w:rPr>
              <w:t>e</w:t>
            </w:r>
            <w:r>
              <w:rPr>
                <w:lang w:val="en-US"/>
              </w:rPr>
              <w:t>legh</w:t>
            </w:r>
            <w:proofErr w:type="spellEnd"/>
          </w:p>
          <w:p w:rsidR="001D08A6" w:rsidRDefault="001D08A6" w:rsidP="00147E12">
            <w:pPr>
              <w:rPr>
                <w:lang w:val="en-US"/>
              </w:rPr>
            </w:pPr>
            <w:r>
              <w:rPr>
                <w:lang w:val="en-US"/>
              </w:rPr>
              <w:t>M. Peterson</w:t>
            </w:r>
          </w:p>
          <w:p w:rsidR="001D08A6" w:rsidRDefault="001D08A6" w:rsidP="00147E12">
            <w:pPr>
              <w:rPr>
                <w:lang w:val="en-US"/>
              </w:rPr>
            </w:pPr>
            <w:r>
              <w:rPr>
                <w:lang w:val="en-US"/>
              </w:rPr>
              <w:t xml:space="preserve">M. </w:t>
            </w:r>
            <w:proofErr w:type="spellStart"/>
            <w:r>
              <w:rPr>
                <w:lang w:val="en-US"/>
              </w:rPr>
              <w:t>Miroiu</w:t>
            </w:r>
            <w:proofErr w:type="spellEnd"/>
          </w:p>
        </w:tc>
        <w:tc>
          <w:tcPr>
            <w:tcW w:w="709" w:type="dxa"/>
          </w:tcPr>
          <w:p w:rsidR="001D08A6" w:rsidRDefault="001D08A6" w:rsidP="00147E12">
            <w:pPr>
              <w:jc w:val="center"/>
              <w:rPr>
                <w:lang w:val="en-US"/>
              </w:rPr>
            </w:pPr>
          </w:p>
          <w:p w:rsidR="001D08A6" w:rsidRDefault="001D08A6" w:rsidP="00147E12">
            <w:pPr>
              <w:spacing w:before="120"/>
              <w:jc w:val="center"/>
              <w:rPr>
                <w:lang w:val="en-US"/>
              </w:rPr>
            </w:pPr>
          </w:p>
          <w:p w:rsidR="001D08A6" w:rsidRDefault="001D08A6" w:rsidP="00147E12">
            <w:pPr>
              <w:spacing w:before="240"/>
              <w:jc w:val="center"/>
              <w:rPr>
                <w:lang w:val="en-US"/>
              </w:rPr>
            </w:pPr>
            <w:r>
              <w:rPr>
                <w:lang w:val="en-US"/>
              </w:rPr>
              <w:t>2</w:t>
            </w:r>
          </w:p>
          <w:p w:rsidR="001D08A6" w:rsidRDefault="001D08A6" w:rsidP="00147E12">
            <w:pPr>
              <w:spacing w:before="120"/>
              <w:jc w:val="center"/>
              <w:rPr>
                <w:lang w:val="en-US"/>
              </w:rPr>
            </w:pPr>
          </w:p>
          <w:p w:rsidR="001D08A6" w:rsidRDefault="001D08A6" w:rsidP="00147E12">
            <w:pPr>
              <w:jc w:val="center"/>
              <w:rPr>
                <w:lang w:val="en-US"/>
              </w:rPr>
            </w:pPr>
            <w:r>
              <w:rPr>
                <w:lang w:val="en-US"/>
              </w:rPr>
              <w:t>14</w:t>
            </w:r>
          </w:p>
        </w:tc>
        <w:tc>
          <w:tcPr>
            <w:tcW w:w="2126" w:type="dxa"/>
          </w:tcPr>
          <w:p w:rsidR="001D08A6" w:rsidRDefault="001D08A6" w:rsidP="00147E12">
            <w:pPr>
              <w:jc w:val="center"/>
              <w:rPr>
                <w:lang w:val="en-US"/>
              </w:rPr>
            </w:pPr>
          </w:p>
          <w:p w:rsidR="001D08A6" w:rsidRDefault="001D08A6" w:rsidP="00147E12">
            <w:pPr>
              <w:jc w:val="center"/>
              <w:rPr>
                <w:lang w:val="en-US"/>
              </w:rPr>
            </w:pPr>
          </w:p>
          <w:p w:rsidR="001D08A6" w:rsidRDefault="001D08A6" w:rsidP="00147E12">
            <w:pPr>
              <w:jc w:val="center"/>
              <w:rPr>
                <w:lang w:val="en-US"/>
              </w:rPr>
            </w:pPr>
          </w:p>
          <w:p w:rsidR="001D08A6" w:rsidRDefault="001D08A6" w:rsidP="00147E12">
            <w:pPr>
              <w:spacing w:before="120"/>
              <w:jc w:val="center"/>
              <w:rPr>
                <w:lang w:val="en-US"/>
              </w:rPr>
            </w:pPr>
            <w:r>
              <w:rPr>
                <w:lang w:val="en-US"/>
              </w:rPr>
              <w:t>Lecture</w:t>
            </w:r>
          </w:p>
          <w:p w:rsidR="001D08A6" w:rsidRDefault="001D08A6" w:rsidP="00147E12">
            <w:pPr>
              <w:jc w:val="center"/>
              <w:rPr>
                <w:lang w:val="en-US"/>
              </w:rPr>
            </w:pPr>
          </w:p>
          <w:p w:rsidR="001D08A6" w:rsidRDefault="001D08A6" w:rsidP="00147E12">
            <w:pPr>
              <w:jc w:val="center"/>
              <w:rPr>
                <w:lang w:val="en-US"/>
              </w:rPr>
            </w:pPr>
            <w:r>
              <w:rPr>
                <w:lang w:val="en-US"/>
              </w:rPr>
              <w:t>Lectures, participant presentations of case studies, and discussion</w:t>
            </w:r>
          </w:p>
        </w:tc>
        <w:tc>
          <w:tcPr>
            <w:tcW w:w="2693" w:type="dxa"/>
          </w:tcPr>
          <w:p w:rsidR="001D08A6" w:rsidRDefault="001D08A6" w:rsidP="00147E12">
            <w:pPr>
              <w:pStyle w:val="BodyText2"/>
            </w:pPr>
            <w:r>
              <w:t>East-West discourses – a basis for collective ident</w:t>
            </w:r>
            <w:r>
              <w:t>i</w:t>
            </w:r>
            <w:r>
              <w:t xml:space="preserve">ties? Post-colonialism, </w:t>
            </w:r>
            <w:proofErr w:type="spellStart"/>
            <w:r>
              <w:t>Orientalism</w:t>
            </w:r>
            <w:proofErr w:type="spellEnd"/>
            <w:r>
              <w:t xml:space="preserve">, </w:t>
            </w:r>
            <w:proofErr w:type="spellStart"/>
            <w:r>
              <w:t>Ba</w:t>
            </w:r>
            <w:r>
              <w:t>l</w:t>
            </w:r>
            <w:r>
              <w:t>kanism</w:t>
            </w:r>
            <w:proofErr w:type="spellEnd"/>
            <w:r>
              <w:t xml:space="preserve"> and Eastern Europe.</w:t>
            </w:r>
          </w:p>
          <w:p w:rsidR="001D08A6" w:rsidRDefault="001D08A6" w:rsidP="00147E12">
            <w:pPr>
              <w:pStyle w:val="BodyText2"/>
            </w:pPr>
            <w:r>
              <w:t>The re-</w:t>
            </w:r>
            <w:proofErr w:type="spellStart"/>
            <w:r>
              <w:t>structuration</w:t>
            </w:r>
            <w:proofErr w:type="spellEnd"/>
            <w:r>
              <w:t xml:space="preserve"> of soci</w:t>
            </w:r>
            <w:r>
              <w:t>e</w:t>
            </w:r>
            <w:r>
              <w:t>ties in Eastern and Western Europe after WW II.</w:t>
            </w:r>
          </w:p>
          <w:p w:rsidR="001D08A6" w:rsidRDefault="001D08A6" w:rsidP="00147E12">
            <w:pPr>
              <w:pStyle w:val="Footer"/>
              <w:tabs>
                <w:tab w:val="clear" w:pos="4536"/>
                <w:tab w:val="clear" w:pos="9072"/>
              </w:tabs>
              <w:rPr>
                <w:lang w:val="en-US"/>
              </w:rPr>
            </w:pPr>
            <w:r>
              <w:rPr>
                <w:lang w:val="en-US"/>
              </w:rPr>
              <w:t>Living transition after 1989</w:t>
            </w:r>
            <w:r>
              <w:t>: survival and emancipation; the „Feminized East” and Patriarchal Global Politics</w:t>
            </w:r>
          </w:p>
        </w:tc>
      </w:tr>
      <w:tr w:rsidR="001D08A6" w:rsidTr="00147E12">
        <w:tblPrEx>
          <w:tblCellMar>
            <w:top w:w="0" w:type="dxa"/>
            <w:bottom w:w="0" w:type="dxa"/>
          </w:tblCellMar>
        </w:tblPrEx>
        <w:tc>
          <w:tcPr>
            <w:tcW w:w="2504" w:type="dxa"/>
          </w:tcPr>
          <w:p w:rsidR="001D08A6" w:rsidRDefault="001D08A6" w:rsidP="00147E12">
            <w:pPr>
              <w:rPr>
                <w:b/>
                <w:lang w:val="en-US"/>
              </w:rPr>
            </w:pPr>
            <w:proofErr w:type="spellStart"/>
            <w:r>
              <w:rPr>
                <w:b/>
                <w:lang w:val="en-US"/>
              </w:rPr>
              <w:t>III.a</w:t>
            </w:r>
            <w:proofErr w:type="spellEnd"/>
            <w:r>
              <w:rPr>
                <w:b/>
                <w:lang w:val="en-US"/>
              </w:rPr>
              <w:t>. The use of interpr</w:t>
            </w:r>
            <w:r>
              <w:rPr>
                <w:b/>
                <w:lang w:val="en-US"/>
              </w:rPr>
              <w:t>e</w:t>
            </w:r>
            <w:r>
              <w:rPr>
                <w:b/>
                <w:lang w:val="en-US"/>
              </w:rPr>
              <w:t xml:space="preserve">tive methods </w:t>
            </w:r>
          </w:p>
          <w:p w:rsidR="001D08A6" w:rsidRDefault="001D08A6" w:rsidP="00147E12">
            <w:pPr>
              <w:rPr>
                <w:b/>
                <w:lang w:val="en-US"/>
              </w:rPr>
            </w:pPr>
            <w:r>
              <w:t>Understanding a narrative – a hermeneutical approach.</w:t>
            </w:r>
          </w:p>
        </w:tc>
        <w:tc>
          <w:tcPr>
            <w:tcW w:w="1276" w:type="dxa"/>
          </w:tcPr>
          <w:p w:rsidR="001D08A6" w:rsidRDefault="001D08A6" w:rsidP="00147E12">
            <w:pPr>
              <w:pStyle w:val="Footer"/>
              <w:tabs>
                <w:tab w:val="clear" w:pos="4536"/>
                <w:tab w:val="clear" w:pos="9072"/>
              </w:tabs>
              <w:spacing w:before="120"/>
              <w:rPr>
                <w:lang w:val="en-US"/>
              </w:rPr>
            </w:pPr>
          </w:p>
          <w:p w:rsidR="001D08A6" w:rsidRDefault="001D08A6" w:rsidP="00147E12">
            <w:pPr>
              <w:pStyle w:val="Footer"/>
              <w:tabs>
                <w:tab w:val="clear" w:pos="4536"/>
                <w:tab w:val="clear" w:pos="9072"/>
              </w:tabs>
              <w:rPr>
                <w:lang w:val="en-US"/>
              </w:rPr>
            </w:pPr>
            <w:r>
              <w:rPr>
                <w:lang w:val="en-US"/>
              </w:rPr>
              <w:t xml:space="preserve">R. </w:t>
            </w:r>
            <w:proofErr w:type="spellStart"/>
            <w:r>
              <w:rPr>
                <w:lang w:val="en-US"/>
              </w:rPr>
              <w:t>Breckner</w:t>
            </w:r>
            <w:proofErr w:type="spellEnd"/>
          </w:p>
          <w:p w:rsidR="001D08A6" w:rsidRDefault="001D08A6" w:rsidP="00147E12">
            <w:pPr>
              <w:pStyle w:val="Footer"/>
              <w:tabs>
                <w:tab w:val="clear" w:pos="4536"/>
                <w:tab w:val="clear" w:pos="9072"/>
              </w:tabs>
              <w:rPr>
                <w:lang w:val="en-US"/>
              </w:rPr>
            </w:pPr>
            <w:r>
              <w:rPr>
                <w:lang w:val="en-US"/>
              </w:rPr>
              <w:t xml:space="preserve">J. </w:t>
            </w:r>
            <w:proofErr w:type="spellStart"/>
            <w:r>
              <w:rPr>
                <w:lang w:val="en-US"/>
              </w:rPr>
              <w:t>Vajda</w:t>
            </w:r>
            <w:proofErr w:type="spellEnd"/>
          </w:p>
        </w:tc>
        <w:tc>
          <w:tcPr>
            <w:tcW w:w="709" w:type="dxa"/>
          </w:tcPr>
          <w:p w:rsidR="001D08A6" w:rsidRDefault="001D08A6" w:rsidP="00147E12">
            <w:pPr>
              <w:jc w:val="center"/>
              <w:rPr>
                <w:lang w:val="en-US"/>
              </w:rPr>
            </w:pPr>
          </w:p>
          <w:p w:rsidR="001D08A6" w:rsidRDefault="001D08A6" w:rsidP="00147E12">
            <w:pPr>
              <w:jc w:val="center"/>
              <w:rPr>
                <w:lang w:val="en-US"/>
              </w:rPr>
            </w:pPr>
          </w:p>
          <w:p w:rsidR="001D08A6" w:rsidRDefault="001D08A6" w:rsidP="00147E12">
            <w:pPr>
              <w:jc w:val="center"/>
              <w:rPr>
                <w:lang w:val="en-US"/>
              </w:rPr>
            </w:pPr>
            <w:r>
              <w:rPr>
                <w:lang w:val="en-US"/>
              </w:rPr>
              <w:t>2</w:t>
            </w:r>
          </w:p>
        </w:tc>
        <w:tc>
          <w:tcPr>
            <w:tcW w:w="2126" w:type="dxa"/>
          </w:tcPr>
          <w:p w:rsidR="001D08A6" w:rsidRDefault="001D08A6" w:rsidP="00147E12">
            <w:pPr>
              <w:jc w:val="center"/>
              <w:rPr>
                <w:lang w:val="en-US"/>
              </w:rPr>
            </w:pPr>
          </w:p>
        </w:tc>
        <w:tc>
          <w:tcPr>
            <w:tcW w:w="2693" w:type="dxa"/>
          </w:tcPr>
          <w:p w:rsidR="001D08A6" w:rsidRDefault="001D08A6" w:rsidP="00147E12">
            <w:pPr>
              <w:pStyle w:val="BodyText2"/>
            </w:pPr>
          </w:p>
          <w:p w:rsidR="001D08A6" w:rsidRDefault="001D08A6" w:rsidP="00147E12">
            <w:pPr>
              <w:pStyle w:val="BodyText2"/>
            </w:pPr>
            <w:r>
              <w:t>Theoretical possibilities of interpretation.</w:t>
            </w:r>
          </w:p>
          <w:p w:rsidR="001D08A6" w:rsidRDefault="001D08A6" w:rsidP="00147E12">
            <w:pPr>
              <w:pStyle w:val="BodyText2"/>
            </w:pPr>
          </w:p>
        </w:tc>
      </w:tr>
      <w:tr w:rsidR="001D08A6" w:rsidTr="00147E12">
        <w:tblPrEx>
          <w:tblCellMar>
            <w:top w:w="0" w:type="dxa"/>
            <w:bottom w:w="0" w:type="dxa"/>
          </w:tblCellMar>
        </w:tblPrEx>
        <w:tc>
          <w:tcPr>
            <w:tcW w:w="2504" w:type="dxa"/>
          </w:tcPr>
          <w:p w:rsidR="001D08A6" w:rsidRDefault="001D08A6" w:rsidP="00147E12">
            <w:pPr>
              <w:rPr>
                <w:lang w:val="en-US"/>
              </w:rPr>
            </w:pPr>
            <w:proofErr w:type="spellStart"/>
            <w:r>
              <w:rPr>
                <w:b/>
              </w:rPr>
              <w:t>III.b</w:t>
            </w:r>
            <w:proofErr w:type="spellEnd"/>
            <w:r>
              <w:rPr>
                <w:b/>
              </w:rPr>
              <w:t xml:space="preserve">. </w:t>
            </w:r>
            <w:r>
              <w:rPr>
                <w:b/>
                <w:lang w:val="en-US"/>
              </w:rPr>
              <w:t>The use of interpr</w:t>
            </w:r>
            <w:r>
              <w:rPr>
                <w:b/>
                <w:lang w:val="en-US"/>
              </w:rPr>
              <w:t>e</w:t>
            </w:r>
            <w:r>
              <w:rPr>
                <w:b/>
                <w:lang w:val="en-US"/>
              </w:rPr>
              <w:t>tive methods – exploring east-west experiences</w:t>
            </w:r>
            <w:r>
              <w:rPr>
                <w:lang w:val="en-US"/>
              </w:rPr>
              <w:t xml:space="preserve"> </w:t>
            </w:r>
          </w:p>
          <w:p w:rsidR="001D08A6" w:rsidRDefault="001D08A6" w:rsidP="00147E12">
            <w:pPr>
              <w:pStyle w:val="BodyText2"/>
            </w:pPr>
            <w:r>
              <w:t>Developing a research d</w:t>
            </w:r>
            <w:r>
              <w:t>e</w:t>
            </w:r>
            <w:r>
              <w:t>sign as basis for the course pra</w:t>
            </w:r>
            <w:r>
              <w:t>c</w:t>
            </w:r>
            <w:r>
              <w:t>tices</w:t>
            </w:r>
          </w:p>
          <w:p w:rsidR="001D08A6" w:rsidRDefault="001D08A6" w:rsidP="00147E12">
            <w:pPr>
              <w:pStyle w:val="Footer"/>
              <w:widowControl w:val="0"/>
              <w:tabs>
                <w:tab w:val="clear" w:pos="4536"/>
                <w:tab w:val="clear" w:pos="9072"/>
              </w:tabs>
              <w:rPr>
                <w:snapToGrid w:val="0"/>
                <w:lang w:val="en-US"/>
              </w:rPr>
            </w:pPr>
            <w:r>
              <w:rPr>
                <w:snapToGrid w:val="0"/>
                <w:lang w:val="en-US"/>
              </w:rPr>
              <w:t>Principles and practice of</w:t>
            </w:r>
          </w:p>
          <w:p w:rsidR="001D08A6" w:rsidRDefault="001D08A6" w:rsidP="001D08A6">
            <w:pPr>
              <w:numPr>
                <w:ilvl w:val="0"/>
                <w:numId w:val="1"/>
              </w:numPr>
              <w:ind w:left="357" w:hanging="357"/>
              <w:rPr>
                <w:sz w:val="18"/>
                <w:lang w:val="en-US"/>
              </w:rPr>
            </w:pPr>
            <w:r>
              <w:rPr>
                <w:sz w:val="18"/>
                <w:lang w:val="en-US"/>
              </w:rPr>
              <w:t>Narrative Intervie</w:t>
            </w:r>
            <w:r>
              <w:rPr>
                <w:sz w:val="18"/>
                <w:lang w:val="en-US"/>
              </w:rPr>
              <w:t>w</w:t>
            </w:r>
            <w:r>
              <w:rPr>
                <w:sz w:val="18"/>
                <w:lang w:val="en-US"/>
              </w:rPr>
              <w:t xml:space="preserve">ing </w:t>
            </w:r>
          </w:p>
          <w:p w:rsidR="001D08A6" w:rsidRDefault="001D08A6" w:rsidP="001D08A6">
            <w:pPr>
              <w:numPr>
                <w:ilvl w:val="0"/>
                <w:numId w:val="1"/>
              </w:numPr>
              <w:ind w:left="357" w:hanging="357"/>
              <w:rPr>
                <w:sz w:val="18"/>
                <w:lang w:val="en-US"/>
              </w:rPr>
            </w:pPr>
            <w:r>
              <w:rPr>
                <w:sz w:val="18"/>
                <w:lang w:val="en-US"/>
              </w:rPr>
              <w:t>Hermeneutic Text analysis</w:t>
            </w:r>
          </w:p>
          <w:p w:rsidR="001D08A6" w:rsidRDefault="001D08A6" w:rsidP="001D08A6">
            <w:pPr>
              <w:numPr>
                <w:ilvl w:val="0"/>
                <w:numId w:val="1"/>
              </w:numPr>
              <w:ind w:left="357" w:hanging="357"/>
              <w:rPr>
                <w:sz w:val="18"/>
                <w:lang w:val="en-US"/>
              </w:rPr>
            </w:pPr>
            <w:r>
              <w:rPr>
                <w:sz w:val="18"/>
                <w:lang w:val="en-US"/>
              </w:rPr>
              <w:t>Discourse analysis</w:t>
            </w:r>
          </w:p>
          <w:p w:rsidR="001D08A6" w:rsidRDefault="001D08A6" w:rsidP="001D08A6">
            <w:pPr>
              <w:numPr>
                <w:ilvl w:val="0"/>
                <w:numId w:val="1"/>
              </w:numPr>
              <w:ind w:left="357" w:hanging="357"/>
              <w:rPr>
                <w:lang w:val="en-US"/>
              </w:rPr>
            </w:pPr>
            <w:r>
              <w:rPr>
                <w:sz w:val="18"/>
                <w:lang w:val="en-US"/>
              </w:rPr>
              <w:t>Picture analysis</w:t>
            </w:r>
          </w:p>
        </w:tc>
        <w:tc>
          <w:tcPr>
            <w:tcW w:w="1276" w:type="dxa"/>
          </w:tcPr>
          <w:p w:rsidR="001D08A6" w:rsidRDefault="001D08A6" w:rsidP="00147E12">
            <w:pPr>
              <w:pStyle w:val="Footer"/>
              <w:tabs>
                <w:tab w:val="clear" w:pos="4536"/>
                <w:tab w:val="clear" w:pos="9072"/>
              </w:tabs>
              <w:spacing w:before="120"/>
              <w:rPr>
                <w:lang w:val="en-US"/>
              </w:rPr>
            </w:pPr>
          </w:p>
          <w:p w:rsidR="001D08A6" w:rsidRDefault="001D08A6" w:rsidP="00147E12">
            <w:pPr>
              <w:pStyle w:val="Footer"/>
              <w:tabs>
                <w:tab w:val="clear" w:pos="4536"/>
                <w:tab w:val="clear" w:pos="9072"/>
              </w:tabs>
              <w:spacing w:before="120"/>
              <w:rPr>
                <w:lang w:val="en-US"/>
              </w:rPr>
            </w:pPr>
          </w:p>
          <w:p w:rsidR="001D08A6" w:rsidRDefault="001D08A6" w:rsidP="00147E12">
            <w:pPr>
              <w:pStyle w:val="Footer"/>
              <w:tabs>
                <w:tab w:val="clear" w:pos="4536"/>
                <w:tab w:val="clear" w:pos="9072"/>
              </w:tabs>
              <w:rPr>
                <w:lang w:val="en-US"/>
              </w:rPr>
            </w:pPr>
          </w:p>
          <w:p w:rsidR="001D08A6" w:rsidRDefault="001D08A6" w:rsidP="00147E12">
            <w:pPr>
              <w:rPr>
                <w:lang w:val="en-US"/>
              </w:rPr>
            </w:pPr>
            <w:r>
              <w:rPr>
                <w:lang w:val="en-US"/>
              </w:rPr>
              <w:t xml:space="preserve">R. </w:t>
            </w:r>
            <w:proofErr w:type="spellStart"/>
            <w:r>
              <w:rPr>
                <w:lang w:val="en-US"/>
              </w:rPr>
              <w:t>Breckner</w:t>
            </w:r>
            <w:proofErr w:type="spellEnd"/>
          </w:p>
          <w:p w:rsidR="001D08A6" w:rsidRDefault="001D08A6" w:rsidP="00147E12">
            <w:pPr>
              <w:rPr>
                <w:lang w:val="en-US"/>
              </w:rPr>
            </w:pPr>
            <w:r>
              <w:rPr>
                <w:lang w:val="en-US"/>
              </w:rPr>
              <w:t xml:space="preserve">J. </w:t>
            </w:r>
            <w:proofErr w:type="spellStart"/>
            <w:r>
              <w:rPr>
                <w:lang w:val="en-US"/>
              </w:rPr>
              <w:t>Vajda</w:t>
            </w:r>
            <w:proofErr w:type="spellEnd"/>
          </w:p>
          <w:p w:rsidR="001D08A6" w:rsidRDefault="001D08A6" w:rsidP="00147E12">
            <w:pPr>
              <w:pStyle w:val="Footer"/>
              <w:tabs>
                <w:tab w:val="clear" w:pos="4536"/>
                <w:tab w:val="clear" w:pos="9072"/>
              </w:tabs>
              <w:rPr>
                <w:lang w:val="en-US"/>
              </w:rPr>
            </w:pPr>
            <w:r>
              <w:rPr>
                <w:lang w:val="en-US"/>
              </w:rPr>
              <w:t xml:space="preserve">A. </w:t>
            </w:r>
            <w:proofErr w:type="spellStart"/>
            <w:r>
              <w:rPr>
                <w:lang w:val="en-US"/>
              </w:rPr>
              <w:t>Melegh</w:t>
            </w:r>
            <w:proofErr w:type="spellEnd"/>
          </w:p>
        </w:tc>
        <w:tc>
          <w:tcPr>
            <w:tcW w:w="709" w:type="dxa"/>
          </w:tcPr>
          <w:p w:rsidR="001D08A6" w:rsidRDefault="001D08A6" w:rsidP="00147E12">
            <w:pPr>
              <w:jc w:val="center"/>
              <w:rPr>
                <w:lang w:val="en-US"/>
              </w:rPr>
            </w:pPr>
          </w:p>
          <w:p w:rsidR="001D08A6" w:rsidRDefault="001D08A6" w:rsidP="00147E12">
            <w:pPr>
              <w:jc w:val="center"/>
              <w:rPr>
                <w:lang w:val="en-US"/>
              </w:rPr>
            </w:pPr>
          </w:p>
          <w:p w:rsidR="001D08A6" w:rsidRDefault="001D08A6" w:rsidP="00147E12">
            <w:pPr>
              <w:jc w:val="center"/>
              <w:rPr>
                <w:lang w:val="en-US"/>
              </w:rPr>
            </w:pPr>
          </w:p>
          <w:p w:rsidR="001D08A6" w:rsidRDefault="001D08A6" w:rsidP="00147E12">
            <w:pPr>
              <w:jc w:val="center"/>
              <w:rPr>
                <w:lang w:val="en-US"/>
              </w:rPr>
            </w:pPr>
          </w:p>
          <w:p w:rsidR="001D08A6" w:rsidRDefault="001D08A6" w:rsidP="00147E12">
            <w:pPr>
              <w:jc w:val="center"/>
              <w:rPr>
                <w:lang w:val="en-US"/>
              </w:rPr>
            </w:pPr>
          </w:p>
          <w:p w:rsidR="001D08A6" w:rsidRDefault="001D08A6" w:rsidP="00147E12">
            <w:pPr>
              <w:jc w:val="center"/>
              <w:rPr>
                <w:lang w:val="en-US"/>
              </w:rPr>
            </w:pPr>
            <w:r>
              <w:rPr>
                <w:lang w:val="en-US"/>
              </w:rPr>
              <w:t>18</w:t>
            </w:r>
          </w:p>
        </w:tc>
        <w:tc>
          <w:tcPr>
            <w:tcW w:w="2126" w:type="dxa"/>
          </w:tcPr>
          <w:p w:rsidR="001D08A6" w:rsidRDefault="001D08A6" w:rsidP="00147E12">
            <w:pPr>
              <w:jc w:val="center"/>
              <w:rPr>
                <w:lang w:val="en-US"/>
              </w:rPr>
            </w:pPr>
          </w:p>
          <w:p w:rsidR="001D08A6" w:rsidRDefault="001D08A6" w:rsidP="00147E12">
            <w:pPr>
              <w:jc w:val="center"/>
              <w:rPr>
                <w:lang w:val="en-US"/>
              </w:rPr>
            </w:pPr>
          </w:p>
          <w:p w:rsidR="001D08A6" w:rsidRDefault="001D08A6" w:rsidP="00147E12">
            <w:pPr>
              <w:jc w:val="center"/>
              <w:rPr>
                <w:lang w:val="en-US"/>
              </w:rPr>
            </w:pPr>
          </w:p>
          <w:p w:rsidR="001D08A6" w:rsidRDefault="001D08A6" w:rsidP="00147E12">
            <w:pPr>
              <w:jc w:val="center"/>
              <w:rPr>
                <w:lang w:val="en-US"/>
              </w:rPr>
            </w:pPr>
          </w:p>
          <w:p w:rsidR="001D08A6" w:rsidRDefault="001D08A6" w:rsidP="00147E12">
            <w:pPr>
              <w:jc w:val="center"/>
              <w:rPr>
                <w:lang w:val="en-US"/>
              </w:rPr>
            </w:pPr>
          </w:p>
          <w:p w:rsidR="001D08A6" w:rsidRDefault="001D08A6" w:rsidP="00147E12">
            <w:pPr>
              <w:jc w:val="center"/>
              <w:rPr>
                <w:lang w:val="en-US"/>
              </w:rPr>
            </w:pPr>
            <w:r>
              <w:rPr>
                <w:lang w:val="en-US"/>
              </w:rPr>
              <w:t>Workshop with short introductory lectures</w:t>
            </w:r>
          </w:p>
        </w:tc>
        <w:tc>
          <w:tcPr>
            <w:tcW w:w="2693" w:type="dxa"/>
          </w:tcPr>
          <w:p w:rsidR="001D08A6" w:rsidRDefault="001D08A6" w:rsidP="00147E12">
            <w:pPr>
              <w:pStyle w:val="BodyText2"/>
            </w:pPr>
          </w:p>
          <w:p w:rsidR="001D08A6" w:rsidRDefault="001D08A6" w:rsidP="00147E12">
            <w:pPr>
              <w:pStyle w:val="BodyText2"/>
            </w:pPr>
          </w:p>
          <w:p w:rsidR="001D08A6" w:rsidRDefault="001D08A6" w:rsidP="00147E12">
            <w:pPr>
              <w:pStyle w:val="BodyText2"/>
            </w:pPr>
            <w:r>
              <w:t>Investigating East-West and West-East experiences in m</w:t>
            </w:r>
            <w:r>
              <w:t>i</w:t>
            </w:r>
            <w:r>
              <w:t xml:space="preserve">gration processes by narrative interviews during the course. </w:t>
            </w:r>
          </w:p>
          <w:p w:rsidR="001D08A6" w:rsidRDefault="001D08A6" w:rsidP="00147E12">
            <w:pPr>
              <w:pStyle w:val="Footer"/>
              <w:tabs>
                <w:tab w:val="clear" w:pos="4536"/>
                <w:tab w:val="clear" w:pos="9072"/>
              </w:tabs>
              <w:rPr>
                <w:lang w:val="en-US"/>
              </w:rPr>
            </w:pPr>
            <w:r>
              <w:rPr>
                <w:lang w:val="en-US"/>
              </w:rPr>
              <w:t>Practice based introduction in the use of narrative intervie</w:t>
            </w:r>
            <w:r>
              <w:rPr>
                <w:lang w:val="en-US"/>
              </w:rPr>
              <w:t>w</w:t>
            </w:r>
            <w:r>
              <w:rPr>
                <w:lang w:val="en-US"/>
              </w:rPr>
              <w:t>ing, discourse analysis, and picture analysis (photographs)</w:t>
            </w:r>
          </w:p>
        </w:tc>
      </w:tr>
      <w:tr w:rsidR="001D08A6" w:rsidTr="00147E12">
        <w:tblPrEx>
          <w:tblCellMar>
            <w:top w:w="0" w:type="dxa"/>
            <w:bottom w:w="0" w:type="dxa"/>
          </w:tblCellMar>
        </w:tblPrEx>
        <w:tc>
          <w:tcPr>
            <w:tcW w:w="2504" w:type="dxa"/>
          </w:tcPr>
          <w:p w:rsidR="001D08A6" w:rsidRDefault="001D08A6" w:rsidP="00147E12">
            <w:pPr>
              <w:pStyle w:val="Footer"/>
              <w:tabs>
                <w:tab w:val="clear" w:pos="4536"/>
                <w:tab w:val="clear" w:pos="9072"/>
              </w:tabs>
              <w:rPr>
                <w:lang w:val="en-US"/>
              </w:rPr>
            </w:pPr>
            <w:r>
              <w:rPr>
                <w:b/>
                <w:lang w:val="en-US"/>
              </w:rPr>
              <w:t xml:space="preserve">IV. </w:t>
            </w:r>
            <w:r>
              <w:rPr>
                <w:lang w:val="en-US"/>
              </w:rPr>
              <w:t>Identity questions rev</w:t>
            </w:r>
            <w:r>
              <w:rPr>
                <w:lang w:val="en-US"/>
              </w:rPr>
              <w:t>i</w:t>
            </w:r>
            <w:r>
              <w:rPr>
                <w:lang w:val="en-US"/>
              </w:rPr>
              <w:t>sited in the light of East-West relations</w:t>
            </w:r>
          </w:p>
        </w:tc>
        <w:tc>
          <w:tcPr>
            <w:tcW w:w="1276" w:type="dxa"/>
          </w:tcPr>
          <w:p w:rsidR="001D08A6" w:rsidRDefault="001D08A6" w:rsidP="00147E12">
            <w:pPr>
              <w:rPr>
                <w:lang w:val="en-US"/>
              </w:rPr>
            </w:pPr>
          </w:p>
          <w:p w:rsidR="001D08A6" w:rsidRDefault="001D08A6" w:rsidP="00147E12">
            <w:pPr>
              <w:rPr>
                <w:lang w:val="en-US"/>
              </w:rPr>
            </w:pPr>
            <w:r>
              <w:rPr>
                <w:lang w:val="en-US"/>
              </w:rPr>
              <w:t>M. P</w:t>
            </w:r>
            <w:r>
              <w:rPr>
                <w:lang w:val="en-US"/>
              </w:rPr>
              <w:t>e</w:t>
            </w:r>
            <w:r>
              <w:rPr>
                <w:lang w:val="en-US"/>
              </w:rPr>
              <w:t>terson</w:t>
            </w:r>
          </w:p>
          <w:p w:rsidR="001D08A6" w:rsidRDefault="001D08A6" w:rsidP="00147E12">
            <w:pPr>
              <w:rPr>
                <w:lang w:val="en-US"/>
              </w:rPr>
            </w:pPr>
            <w:r>
              <w:rPr>
                <w:lang w:val="en-US"/>
              </w:rPr>
              <w:t xml:space="preserve">M. </w:t>
            </w:r>
            <w:proofErr w:type="spellStart"/>
            <w:r>
              <w:rPr>
                <w:lang w:val="en-US"/>
              </w:rPr>
              <w:t>Miroiu</w:t>
            </w:r>
            <w:proofErr w:type="spellEnd"/>
          </w:p>
        </w:tc>
        <w:tc>
          <w:tcPr>
            <w:tcW w:w="709" w:type="dxa"/>
          </w:tcPr>
          <w:p w:rsidR="001D08A6" w:rsidRDefault="001D08A6" w:rsidP="00147E12">
            <w:pPr>
              <w:jc w:val="center"/>
              <w:rPr>
                <w:lang w:val="en-US"/>
              </w:rPr>
            </w:pPr>
          </w:p>
          <w:p w:rsidR="001D08A6" w:rsidRDefault="001D08A6" w:rsidP="00147E12">
            <w:pPr>
              <w:jc w:val="center"/>
              <w:rPr>
                <w:lang w:val="en-US"/>
              </w:rPr>
            </w:pPr>
            <w:r>
              <w:rPr>
                <w:lang w:val="en-US"/>
              </w:rPr>
              <w:t>2</w:t>
            </w:r>
          </w:p>
        </w:tc>
        <w:tc>
          <w:tcPr>
            <w:tcW w:w="2126" w:type="dxa"/>
          </w:tcPr>
          <w:p w:rsidR="001D08A6" w:rsidRDefault="001D08A6" w:rsidP="00147E12">
            <w:pPr>
              <w:spacing w:before="120" w:after="120"/>
              <w:jc w:val="center"/>
              <w:rPr>
                <w:lang w:val="en-US"/>
              </w:rPr>
            </w:pPr>
            <w:r>
              <w:rPr>
                <w:lang w:val="en-US"/>
              </w:rPr>
              <w:t>Summarizing discu</w:t>
            </w:r>
            <w:r>
              <w:rPr>
                <w:lang w:val="en-US"/>
              </w:rPr>
              <w:t>s</w:t>
            </w:r>
            <w:r>
              <w:rPr>
                <w:lang w:val="en-US"/>
              </w:rPr>
              <w:t>sions</w:t>
            </w:r>
          </w:p>
        </w:tc>
        <w:tc>
          <w:tcPr>
            <w:tcW w:w="2693" w:type="dxa"/>
          </w:tcPr>
          <w:p w:rsidR="001D08A6" w:rsidRDefault="001D08A6" w:rsidP="00147E12">
            <w:pPr>
              <w:pStyle w:val="Footer"/>
              <w:widowControl w:val="0"/>
              <w:tabs>
                <w:tab w:val="clear" w:pos="4536"/>
                <w:tab w:val="clear" w:pos="9072"/>
              </w:tabs>
              <w:rPr>
                <w:snapToGrid w:val="0"/>
                <w:lang w:val="en-US"/>
              </w:rPr>
            </w:pPr>
            <w:r>
              <w:rPr>
                <w:snapToGrid w:val="0"/>
                <w:lang w:val="en-US"/>
              </w:rPr>
              <w:t>How do specific identity models structure east-west relations and di</w:t>
            </w:r>
            <w:r>
              <w:rPr>
                <w:snapToGrid w:val="0"/>
                <w:lang w:val="en-US"/>
              </w:rPr>
              <w:t>s</w:t>
            </w:r>
            <w:r>
              <w:rPr>
                <w:snapToGrid w:val="0"/>
                <w:lang w:val="en-US"/>
              </w:rPr>
              <w:t>courses?</w:t>
            </w:r>
          </w:p>
        </w:tc>
      </w:tr>
    </w:tbl>
    <w:p w:rsidR="001D08A6" w:rsidRDefault="001D08A6" w:rsidP="001D08A6">
      <w:pPr>
        <w:jc w:val="both"/>
        <w:rPr>
          <w:b/>
        </w:rPr>
      </w:pPr>
    </w:p>
    <w:p w:rsidR="001D08A6" w:rsidRDefault="001D08A6" w:rsidP="001D08A6">
      <w:pPr>
        <w:jc w:val="both"/>
        <w:rPr>
          <w:b/>
        </w:rPr>
      </w:pPr>
      <w:r>
        <w:rPr>
          <w:b/>
        </w:rPr>
        <w:lastRenderedPageBreak/>
        <w:t>Teaching methods:</w:t>
      </w:r>
    </w:p>
    <w:p w:rsidR="001D08A6" w:rsidRDefault="001D08A6" w:rsidP="001D08A6">
      <w:pPr>
        <w:pStyle w:val="BodyText"/>
        <w:widowControl w:val="0"/>
        <w:jc w:val="both"/>
        <w:rPr>
          <w:sz w:val="20"/>
        </w:rPr>
      </w:pPr>
      <w:r>
        <w:rPr>
          <w:sz w:val="20"/>
        </w:rPr>
        <w:t>In addition to traditional reading and discussions, the course is based on interactive course teaching. This i</w:t>
      </w:r>
      <w:r>
        <w:rPr>
          <w:sz w:val="20"/>
        </w:rPr>
        <w:t>n</w:t>
      </w:r>
      <w:r>
        <w:rPr>
          <w:sz w:val="20"/>
        </w:rPr>
        <w:t>cludes role plays to practice specific elements of the proposed methods, work in trios and subgroups, thus pr</w:t>
      </w:r>
      <w:r>
        <w:rPr>
          <w:sz w:val="20"/>
        </w:rPr>
        <w:t>o</w:t>
      </w:r>
      <w:r>
        <w:rPr>
          <w:sz w:val="20"/>
        </w:rPr>
        <w:t>viding the participants with practice based didactic teaching methods. During the course all participants shall have the possibility to conduct an individual interview to be discussed by the participants and the instructors. Results of the workshop-based practice will be presented by the participants at the end of the course based on a written analysis of his/her interview. Additional modules can be introduced according to the developing interest and work of partic</w:t>
      </w:r>
      <w:r>
        <w:rPr>
          <w:sz w:val="20"/>
        </w:rPr>
        <w:t>i</w:t>
      </w:r>
      <w:r>
        <w:rPr>
          <w:sz w:val="20"/>
        </w:rPr>
        <w:t xml:space="preserve">pants. </w:t>
      </w:r>
    </w:p>
    <w:p w:rsidR="001D08A6" w:rsidRDefault="001D08A6" w:rsidP="001D08A6">
      <w:pPr>
        <w:tabs>
          <w:tab w:val="left" w:pos="-1128"/>
          <w:tab w:val="left" w:pos="-720"/>
          <w:tab w:val="left" w:pos="0"/>
          <w:tab w:val="left" w:pos="284"/>
          <w:tab w:val="left" w:pos="720"/>
          <w:tab w:val="left" w:pos="1053"/>
          <w:tab w:val="left" w:pos="1440"/>
          <w:tab w:val="left" w:pos="2160"/>
          <w:tab w:val="left" w:pos="2528"/>
        </w:tabs>
        <w:jc w:val="both"/>
      </w:pPr>
    </w:p>
    <w:sectPr w:rsidR="001D08A6"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D796A"/>
    <w:multiLevelType w:val="singleLevel"/>
    <w:tmpl w:val="04070007"/>
    <w:lvl w:ilvl="0">
      <w:start w:val="1"/>
      <w:numFmt w:val="bullet"/>
      <w:lvlText w:val="-"/>
      <w:lvlJc w:val="left"/>
      <w:pPr>
        <w:tabs>
          <w:tab w:val="num" w:pos="360"/>
        </w:tabs>
        <w:ind w:left="360" w:hanging="360"/>
      </w:pPr>
      <w:rPr>
        <w:sz w:val="16"/>
      </w:rPr>
    </w:lvl>
  </w:abstractNum>
  <w:abstractNum w:abstractNumId="1">
    <w:nsid w:val="5CBC6A6A"/>
    <w:multiLevelType w:val="singleLevel"/>
    <w:tmpl w:val="6A56BF64"/>
    <w:lvl w:ilvl="0">
      <w:start w:val="1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8A6"/>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08A6"/>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A6"/>
    <w:pPr>
      <w:widowControl w:val="0"/>
      <w:spacing w:after="0" w:line="240" w:lineRule="auto"/>
    </w:pPr>
    <w:rPr>
      <w:rFonts w:ascii="Times New Roman" w:eastAsia="Times New Roman" w:hAnsi="Times New Roman" w:cs="Times New Roman"/>
      <w:snapToGrid w:val="0"/>
      <w:sz w:val="20"/>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D08A6"/>
    <w:pPr>
      <w:widowControl/>
    </w:pPr>
    <w:rPr>
      <w:snapToGrid/>
      <w:sz w:val="24"/>
      <w:lang w:val="en-US"/>
    </w:rPr>
  </w:style>
  <w:style w:type="character" w:customStyle="1" w:styleId="BodyTextChar">
    <w:name w:val="Body Text Char"/>
    <w:basedOn w:val="DefaultParagraphFont"/>
    <w:link w:val="BodyText"/>
    <w:semiHidden/>
    <w:rsid w:val="001D08A6"/>
    <w:rPr>
      <w:rFonts w:ascii="Times New Roman" w:eastAsia="Times New Roman" w:hAnsi="Times New Roman" w:cs="Times New Roman"/>
      <w:sz w:val="24"/>
      <w:szCs w:val="20"/>
      <w:lang w:eastAsia="de-DE"/>
    </w:rPr>
  </w:style>
  <w:style w:type="paragraph" w:styleId="BodyText2">
    <w:name w:val="Body Text 2"/>
    <w:basedOn w:val="Normal"/>
    <w:link w:val="BodyText2Char"/>
    <w:semiHidden/>
    <w:rsid w:val="001D08A6"/>
    <w:pPr>
      <w:jc w:val="both"/>
    </w:pPr>
  </w:style>
  <w:style w:type="character" w:customStyle="1" w:styleId="BodyText2Char">
    <w:name w:val="Body Text 2 Char"/>
    <w:basedOn w:val="DefaultParagraphFont"/>
    <w:link w:val="BodyText2"/>
    <w:semiHidden/>
    <w:rsid w:val="001D08A6"/>
    <w:rPr>
      <w:rFonts w:ascii="Times New Roman" w:eastAsia="Times New Roman" w:hAnsi="Times New Roman" w:cs="Times New Roman"/>
      <w:snapToGrid w:val="0"/>
      <w:sz w:val="20"/>
      <w:szCs w:val="20"/>
      <w:lang w:val="en-GB" w:eastAsia="de-DE"/>
    </w:rPr>
  </w:style>
  <w:style w:type="paragraph" w:styleId="Footer">
    <w:name w:val="footer"/>
    <w:basedOn w:val="Normal"/>
    <w:link w:val="FooterChar"/>
    <w:semiHidden/>
    <w:rsid w:val="001D08A6"/>
    <w:pPr>
      <w:widowControl/>
      <w:tabs>
        <w:tab w:val="center" w:pos="4536"/>
        <w:tab w:val="right" w:pos="9072"/>
      </w:tabs>
    </w:pPr>
    <w:rPr>
      <w:snapToGrid/>
      <w:lang w:val="hu-HU"/>
    </w:rPr>
  </w:style>
  <w:style w:type="character" w:customStyle="1" w:styleId="FooterChar">
    <w:name w:val="Footer Char"/>
    <w:basedOn w:val="DefaultParagraphFont"/>
    <w:link w:val="Footer"/>
    <w:semiHidden/>
    <w:rsid w:val="001D08A6"/>
    <w:rPr>
      <w:rFonts w:ascii="Times New Roman" w:eastAsia="Times New Roman" w:hAnsi="Times New Roman" w:cs="Times New Roman"/>
      <w:sz w:val="20"/>
      <w:szCs w:val="20"/>
      <w:lang w:val="hu-HU"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2F9ED4-8C25-49F8-AB39-913FB008149B}"/>
</file>

<file path=customXml/itemProps2.xml><?xml version="1.0" encoding="utf-8"?>
<ds:datastoreItem xmlns:ds="http://schemas.openxmlformats.org/officeDocument/2006/customXml" ds:itemID="{44949EED-C23F-419F-8ED1-E976AE8C0C46}"/>
</file>

<file path=customXml/itemProps3.xml><?xml version="1.0" encoding="utf-8"?>
<ds:datastoreItem xmlns:ds="http://schemas.openxmlformats.org/officeDocument/2006/customXml" ds:itemID="{875A99C9-54A7-497C-9A6A-78933A85D7B5}"/>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2013-12-02T10:50:00Z</dcterms:created>
  <dcterms:modified xsi:type="dcterms:W3CDTF">2013-12-02T10:51:00Z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