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D9" w:rsidRDefault="002A6ED9" w:rsidP="002A6ED9">
      <w:pPr>
        <w:pStyle w:val="NormalWeb"/>
        <w:shd w:val="clear" w:color="auto" w:fill="FFFFFF"/>
        <w:rPr>
          <w:rFonts w:ascii="Tahoma" w:hAnsi="Tahoma" w:cs="Tahoma"/>
          <w:color w:val="666666"/>
          <w:sz w:val="20"/>
          <w:szCs w:val="20"/>
        </w:rPr>
      </w:pPr>
      <w:r w:rsidRPr="002A6ED9">
        <w:rPr>
          <w:rFonts w:ascii="Tahoma" w:hAnsi="Tahoma" w:cs="Tahoma"/>
          <w:b/>
          <w:color w:val="666666"/>
          <w:sz w:val="20"/>
          <w:szCs w:val="20"/>
        </w:rPr>
        <w:t>Detailed Course Description</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This course is especially designed to enhance the professional development of young scholars from transitional societies who are interested in or actively engaged in research and teaching about international relations, international institutions, sustainable development, and human security. It will offer participants an in-depth analysis of the forces that will affect and challenges that will confront global governance in the twenty-first century and various steps that might be taken to enhance the effectiveness of international institutions in responding to those challenges. The course is a special component of a much larger transnational research and professional development program for young scholars in the social sciences and humanities. That project, the “Global Networking for Human Security Project," is in cooperation with the Office of the Secretary-General of the United Nations, the United Nations University, the Academic Council on the United Nations System, the International Studies Association. It is designed to build self-sustaining interdisciplinary research and teaching networks among scholars from different nationalities, cultures, professions, and disciplines. The course will offer participants an in-depth analysis of the forces that will affect and challenges that will confront institutions and practitioners of global governance in the twenty-first century and various steps that might be taken to enhance the effectiveness of international institutions in responding to those challenges. The course will present and challenge participants with the latest concepts, theories, empirical analyses, and teaching techniques about the nature, structures, and processes of global governance and the “new” multilateralism involving private sector, civil society, and social movement actors.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b/>
          <w:bCs/>
          <w:color w:val="666666"/>
          <w:sz w:val="20"/>
          <w:szCs w:val="20"/>
        </w:rPr>
        <w:t>Course structure</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 xml:space="preserve"> The course is organized around five interrelated elements. </w:t>
      </w:r>
      <w:r w:rsidRPr="002A6ED9">
        <w:rPr>
          <w:rFonts w:ascii="Tahoma" w:hAnsi="Tahoma" w:cs="Tahoma"/>
          <w:b/>
          <w:color w:val="666666"/>
          <w:sz w:val="20"/>
          <w:szCs w:val="20"/>
        </w:rPr>
        <w:t>First,</w:t>
      </w:r>
      <w:r>
        <w:rPr>
          <w:rFonts w:ascii="Tahoma" w:hAnsi="Tahoma" w:cs="Tahoma"/>
          <w:color w:val="666666"/>
          <w:sz w:val="20"/>
          <w:szCs w:val="20"/>
        </w:rPr>
        <w:t xml:space="preserve"> "what is governance and how does governance relate to human security?” In that general context, we will explore the relationship between global governance and the creation and maintenance of democratic open societies at the local and national levels. Participants will also seek to identify the constellation of factors and forces that have conditioned the evolution of contemporary global governance processes and structures. Particular attention will be focused on the rise to predominance of liberal ideas, constitutive principles, and normative structures that underpin contemporary global governance.  Class readings and discussions will explore the nature and implications of the dialectic between liberalism and other competing systems of thought.</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 </w:t>
      </w:r>
      <w:r w:rsidRPr="002A6ED9">
        <w:rPr>
          <w:rFonts w:ascii="Tahoma" w:hAnsi="Tahoma" w:cs="Tahoma"/>
          <w:b/>
          <w:color w:val="666666"/>
          <w:sz w:val="20"/>
          <w:szCs w:val="20"/>
        </w:rPr>
        <w:t>Second,</w:t>
      </w:r>
      <w:r>
        <w:rPr>
          <w:rFonts w:ascii="Tahoma" w:hAnsi="Tahoma" w:cs="Tahoma"/>
          <w:color w:val="666666"/>
          <w:sz w:val="20"/>
          <w:szCs w:val="20"/>
        </w:rPr>
        <w:t xml:space="preserve"> the course focuses on the evolving meanings of security. It explores the global value dialectic over peace and security and the transition from a narrow definition of security—national security and protection from physical military aggression—to the much broader concept of human security—meaning that individuals sense and perceive themselves increasingly secure. Global governance and human security are inextricably linked, and the notion of human security focuses international organizational attention directly on individuals and their circumstances. Human security is directly linked to the satisfaction of fundamental human needs and sustainable human development. Enhancing human security is what development is all about. Class activities will explore this important relationship.</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 </w:t>
      </w:r>
      <w:r w:rsidRPr="002A6ED9">
        <w:rPr>
          <w:rFonts w:ascii="Tahoma" w:hAnsi="Tahoma" w:cs="Tahoma"/>
          <w:b/>
          <w:color w:val="666666"/>
          <w:sz w:val="20"/>
          <w:szCs w:val="20"/>
        </w:rPr>
        <w:t>Third,</w:t>
      </w:r>
      <w:r>
        <w:rPr>
          <w:rFonts w:ascii="Tahoma" w:hAnsi="Tahoma" w:cs="Tahoma"/>
          <w:color w:val="666666"/>
          <w:sz w:val="20"/>
          <w:szCs w:val="20"/>
        </w:rPr>
        <w:t xml:space="preserve"> participants analyze the competing forces and tensions that underpin global governance and condition the authoritative allocation of human needs and values.  We examine the evolving dialectics between numerous forces and tensions, such as integration and fragmentation, globalization and localization, and universalism and relativism. Particular attention is paid to identifying and analyzing those forces that serve to undermine and limit the authority, legitimacy, and competency of the national state and state-centered international order. In addition, participants critically analyze the nature and content of global discourses about governance and security to identify ideas, constitutive principles, and structures of meaning that underlie those discourses and practices and associated practices.</w:t>
      </w:r>
    </w:p>
    <w:p w:rsidR="002A6ED9" w:rsidRDefault="002A6ED9" w:rsidP="002A6ED9">
      <w:pPr>
        <w:pStyle w:val="NormalWeb"/>
        <w:shd w:val="clear" w:color="auto" w:fill="FFFFFF"/>
        <w:rPr>
          <w:rFonts w:ascii="Tahoma" w:hAnsi="Tahoma" w:cs="Tahoma"/>
          <w:color w:val="666666"/>
          <w:sz w:val="27"/>
          <w:szCs w:val="27"/>
        </w:rPr>
      </w:pPr>
      <w:r w:rsidRPr="002A6ED9">
        <w:rPr>
          <w:rFonts w:ascii="Tahoma" w:hAnsi="Tahoma" w:cs="Tahoma"/>
          <w:b/>
          <w:color w:val="666666"/>
          <w:sz w:val="20"/>
          <w:szCs w:val="20"/>
        </w:rPr>
        <w:lastRenderedPageBreak/>
        <w:t>Fourth,</w:t>
      </w:r>
      <w:r>
        <w:rPr>
          <w:rFonts w:ascii="Tahoma" w:hAnsi="Tahoma" w:cs="Tahoma"/>
          <w:color w:val="666666"/>
          <w:sz w:val="20"/>
          <w:szCs w:val="20"/>
        </w:rPr>
        <w:t xml:space="preserve"> participants are challenged to re-conceptualize international relations and global governance in non-state-centered terms and to move beyond state/</w:t>
      </w:r>
      <w:proofErr w:type="spellStart"/>
      <w:r>
        <w:rPr>
          <w:rFonts w:ascii="Tahoma" w:hAnsi="Tahoma" w:cs="Tahoma"/>
          <w:color w:val="666666"/>
          <w:sz w:val="20"/>
          <w:szCs w:val="20"/>
        </w:rPr>
        <w:t>nonstate</w:t>
      </w:r>
      <w:proofErr w:type="spellEnd"/>
      <w:r>
        <w:rPr>
          <w:rFonts w:ascii="Tahoma" w:hAnsi="Tahoma" w:cs="Tahoma"/>
          <w:color w:val="666666"/>
          <w:sz w:val="20"/>
          <w:szCs w:val="20"/>
        </w:rPr>
        <w:t xml:space="preserve"> conceptualizations, such as domestic/foreign, inside/outside, or "we"/"they." Class activities will explore the concept of civil society and will discuss the ways in which diverse agents and forces of society can be brought more effectively into our models and theories of international relations. Special emphasis will be placed on identifying actual and potential partnerships between international institutions and those diverse, often contradictory, and sometimes </w:t>
      </w:r>
      <w:proofErr w:type="spellStart"/>
      <w:r>
        <w:rPr>
          <w:rFonts w:ascii="Tahoma" w:hAnsi="Tahoma" w:cs="Tahoma"/>
          <w:color w:val="666666"/>
          <w:sz w:val="20"/>
          <w:szCs w:val="20"/>
        </w:rPr>
        <w:t>conflictual</w:t>
      </w:r>
      <w:proofErr w:type="spellEnd"/>
      <w:r>
        <w:rPr>
          <w:rFonts w:ascii="Tahoma" w:hAnsi="Tahoma" w:cs="Tahoma"/>
          <w:color w:val="666666"/>
          <w:sz w:val="20"/>
          <w:szCs w:val="20"/>
        </w:rPr>
        <w:t xml:space="preserve"> social forces and entities that lie beyond state control. Traditional approaches to multilateralism and global governance have been predominantly hierarchical, concentrating on great power relationships. Such a top-down approach, however, obscures important aspects of dominant-subdominant relationships at the international level and reifies and promotes certain ideas and constitutive principles held by the most powerful participants. In recent years, however, an increasing body of literature has emerged, which challenges such a traditional orientation. These new approaches to multilateralism and global governance will be analyzed, as they relate to the intellectual puzzle being explored. Particular emphasis will be placed on identifying implications for enhancing the effectiveness of international institutions for promoting human security.</w:t>
      </w:r>
    </w:p>
    <w:p w:rsidR="002A6ED9" w:rsidRDefault="002A6ED9" w:rsidP="002A6ED9">
      <w:pPr>
        <w:pStyle w:val="NormalWeb"/>
        <w:shd w:val="clear" w:color="auto" w:fill="FFFFFF"/>
        <w:rPr>
          <w:rFonts w:ascii="Tahoma" w:hAnsi="Tahoma" w:cs="Tahoma"/>
          <w:color w:val="666666"/>
          <w:sz w:val="27"/>
          <w:szCs w:val="27"/>
        </w:rPr>
      </w:pPr>
      <w:r w:rsidRPr="002A6ED9">
        <w:rPr>
          <w:rFonts w:ascii="Tahoma" w:hAnsi="Tahoma" w:cs="Tahoma"/>
          <w:b/>
          <w:color w:val="666666"/>
          <w:sz w:val="20"/>
          <w:szCs w:val="20"/>
        </w:rPr>
        <w:t>Finally</w:t>
      </w:r>
      <w:r>
        <w:rPr>
          <w:rFonts w:ascii="Tahoma" w:hAnsi="Tahoma" w:cs="Tahoma"/>
          <w:color w:val="666666"/>
          <w:sz w:val="20"/>
          <w:szCs w:val="20"/>
        </w:rPr>
        <w:t>, we explore the nature, plausibility, and possibility of reforms in international institutions that would be required to bring civil society and the private sector more fully and effectively into global policy processes.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b/>
          <w:bCs/>
          <w:color w:val="666666"/>
          <w:sz w:val="20"/>
          <w:szCs w:val="20"/>
        </w:rPr>
        <w:t>Course level and target audience</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 xml:space="preserve">The course is designed specifically for young scholars from transitional who have a university degree, hold a teaching job at a college or university in their home country or work as an administrator or a professional, and possess a basic knowledge about international relations and multilateral affairs. Graduate students with teaching experience may also apply. We encourage applications from a wide variety of disciplines, intellectual traditions, </w:t>
      </w:r>
      <w:proofErr w:type="gramStart"/>
      <w:r>
        <w:rPr>
          <w:rFonts w:ascii="Tahoma" w:hAnsi="Tahoma" w:cs="Tahoma"/>
          <w:color w:val="666666"/>
          <w:sz w:val="20"/>
          <w:szCs w:val="20"/>
        </w:rPr>
        <w:t>professional</w:t>
      </w:r>
      <w:proofErr w:type="gramEnd"/>
      <w:r>
        <w:rPr>
          <w:rFonts w:ascii="Tahoma" w:hAnsi="Tahoma" w:cs="Tahoma"/>
          <w:color w:val="666666"/>
          <w:sz w:val="20"/>
          <w:szCs w:val="20"/>
        </w:rPr>
        <w:t xml:space="preserve"> orientations. Applicants from developing countries should consider enrolling instead in the companion course, titled: “The United Nations, Civil Society, and the Private Sector: Partnerships for Sustainable Human Security,” which has been designed to address similar issues but with specific reference to sustainable human development and other local and regional development concerns.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b/>
          <w:bCs/>
          <w:color w:val="666666"/>
          <w:sz w:val="20"/>
          <w:szCs w:val="20"/>
        </w:rPr>
        <w:t>Course format</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 The course will be conducted in a mixed format, including lectures, discussion groups, a research concept paper, a syllabus construction project, Internet research workshops, interactive teaching workshops, individual and group panel presentations, and daily informal “forum” sessions during which participants discuss intellectual issues of common concern. Participants are expected to produce both (1) a completed research design and (2) a course syllabus or other appropriate teaching/information dissemination project. There is no formal grading in the course, but participants whose performance is especially exemplary may be invited to participate on a continuing basis in the larger research program of which the course is a part.</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b/>
          <w:bCs/>
          <w:color w:val="666666"/>
          <w:sz w:val="20"/>
          <w:szCs w:val="20"/>
        </w:rPr>
        <w:t>Course content and timetable</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Monday, July 9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Global Governance and Human Security</w:t>
      </w:r>
      <w:r>
        <w:rPr>
          <w:rFonts w:ascii="Tahoma" w:hAnsi="Tahoma" w:cs="Tahoma"/>
          <w:color w:val="666666"/>
          <w:sz w:val="20"/>
          <w:szCs w:val="20"/>
        </w:rPr>
        <w:br/>
        <w:t>Seminar: Basic Ideas and Concepts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Tuesday, July 10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lastRenderedPageBreak/>
        <w:t>Lecture: The Evolution of Global Governance</w:t>
      </w:r>
      <w:r>
        <w:rPr>
          <w:rFonts w:ascii="Tahoma" w:hAnsi="Tahoma" w:cs="Tahoma"/>
          <w:color w:val="666666"/>
          <w:sz w:val="20"/>
          <w:szCs w:val="20"/>
        </w:rPr>
        <w:br/>
        <w:t>Seminar: The UN System and Global Governance</w:t>
      </w:r>
      <w:r>
        <w:rPr>
          <w:rFonts w:ascii="Tahoma" w:hAnsi="Tahoma" w:cs="Tahoma"/>
          <w:color w:val="666666"/>
          <w:sz w:val="20"/>
          <w:szCs w:val="20"/>
        </w:rPr>
        <w:br/>
        <w:t>Workshop: Developing Your Research Program</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Wednesday, July 11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Normative Foundations of Contemporary Global Governance</w:t>
      </w:r>
      <w:r>
        <w:rPr>
          <w:rFonts w:ascii="Tahoma" w:hAnsi="Tahoma" w:cs="Tahoma"/>
          <w:color w:val="666666"/>
          <w:sz w:val="20"/>
          <w:szCs w:val="20"/>
        </w:rPr>
        <w:br/>
        <w:t>Seminar: Legal Foundations of Contemporary World Order</w:t>
      </w:r>
      <w:r>
        <w:rPr>
          <w:rFonts w:ascii="Tahoma" w:hAnsi="Tahoma" w:cs="Tahoma"/>
          <w:color w:val="666666"/>
          <w:sz w:val="20"/>
          <w:szCs w:val="20"/>
        </w:rPr>
        <w:br/>
        <w:t>Workshop: Research Puzzles and Questions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Thursday, July 12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Human Rights and Human Security</w:t>
      </w:r>
      <w:r>
        <w:rPr>
          <w:rFonts w:ascii="Tahoma" w:hAnsi="Tahoma" w:cs="Tahoma"/>
          <w:color w:val="666666"/>
          <w:sz w:val="20"/>
          <w:szCs w:val="20"/>
        </w:rPr>
        <w:br/>
        <w:t>Seminar: Human Rights and the United Nations</w:t>
      </w:r>
      <w:r>
        <w:rPr>
          <w:rFonts w:ascii="Tahoma" w:hAnsi="Tahoma" w:cs="Tahoma"/>
          <w:color w:val="666666"/>
          <w:sz w:val="20"/>
          <w:szCs w:val="20"/>
        </w:rPr>
        <w:br/>
        <w:t>Workshop: Active Learning Approaches 1</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Friday, July 13</w:t>
      </w:r>
      <w:proofErr w:type="gramStart"/>
      <w:r>
        <w:rPr>
          <w:rFonts w:ascii="Tahoma" w:hAnsi="Tahoma" w:cs="Tahoma"/>
          <w:color w:val="666666"/>
          <w:sz w:val="20"/>
          <w:szCs w:val="20"/>
        </w:rPr>
        <w:t>  Lecture</w:t>
      </w:r>
      <w:proofErr w:type="gramEnd"/>
      <w:r>
        <w:rPr>
          <w:rFonts w:ascii="Tahoma" w:hAnsi="Tahoma" w:cs="Tahoma"/>
          <w:color w:val="666666"/>
          <w:sz w:val="20"/>
          <w:szCs w:val="20"/>
        </w:rPr>
        <w:t>: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Conceptualizing World Order and Disorder</w:t>
      </w:r>
      <w:r>
        <w:rPr>
          <w:rFonts w:ascii="Tahoma" w:hAnsi="Tahoma" w:cs="Tahoma"/>
          <w:color w:val="666666"/>
          <w:sz w:val="20"/>
          <w:szCs w:val="20"/>
        </w:rPr>
        <w:br/>
        <w:t>Seminar: Multilateralism and Governance in the 21st Century</w:t>
      </w:r>
      <w:r>
        <w:rPr>
          <w:rFonts w:ascii="Tahoma" w:hAnsi="Tahoma" w:cs="Tahoma"/>
          <w:color w:val="666666"/>
          <w:sz w:val="20"/>
          <w:szCs w:val="20"/>
        </w:rPr>
        <w:br/>
        <w:t>Workshop: Field Research and Data Collection</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Monday, July 16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Multilateral Security and Economic Cooperation</w:t>
      </w:r>
      <w:r>
        <w:rPr>
          <w:rFonts w:ascii="Tahoma" w:hAnsi="Tahoma" w:cs="Tahoma"/>
          <w:color w:val="666666"/>
          <w:sz w:val="20"/>
          <w:szCs w:val="20"/>
        </w:rPr>
        <w:br/>
        <w:t>Seminar: The “New Regionalism” and Security</w:t>
      </w:r>
      <w:r>
        <w:rPr>
          <w:rFonts w:ascii="Tahoma" w:hAnsi="Tahoma" w:cs="Tahoma"/>
          <w:color w:val="666666"/>
          <w:sz w:val="20"/>
          <w:szCs w:val="20"/>
        </w:rPr>
        <w:br/>
        <w:t>Workshop: Case Study in UN Security: Bosnia</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Tuesday, July 17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The Security Implications of Transition</w:t>
      </w:r>
      <w:r>
        <w:rPr>
          <w:rFonts w:ascii="Tahoma" w:hAnsi="Tahoma" w:cs="Tahoma"/>
          <w:color w:val="666666"/>
          <w:sz w:val="20"/>
          <w:szCs w:val="20"/>
        </w:rPr>
        <w:br/>
        <w:t>Seminar: Democratization, Transition, and Human Security</w:t>
      </w:r>
      <w:r>
        <w:rPr>
          <w:rFonts w:ascii="Tahoma" w:hAnsi="Tahoma" w:cs="Tahoma"/>
          <w:color w:val="666666"/>
          <w:sz w:val="20"/>
          <w:szCs w:val="20"/>
        </w:rPr>
        <w:br/>
        <w:t>Workshop: The Art of Syllabus Construction</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Wednesday, July 18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Politics of the Changing Global Economy</w:t>
      </w:r>
      <w:r>
        <w:rPr>
          <w:rFonts w:ascii="Tahoma" w:hAnsi="Tahoma" w:cs="Tahoma"/>
          <w:color w:val="666666"/>
          <w:sz w:val="20"/>
          <w:szCs w:val="20"/>
        </w:rPr>
        <w:br/>
        <w:t>Seminar: Transnational Economy in a Fragmented World</w:t>
      </w:r>
      <w:r>
        <w:rPr>
          <w:rFonts w:ascii="Tahoma" w:hAnsi="Tahoma" w:cs="Tahoma"/>
          <w:color w:val="666666"/>
          <w:sz w:val="20"/>
          <w:szCs w:val="20"/>
        </w:rPr>
        <w:br/>
        <w:t>Workshop: The Internet as a Research Tool</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Thursday, July 19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Special Session at the Institute of World Economics, Hungarian Academy of Sciences</w:t>
      </w:r>
      <w:proofErr w:type="gramStart"/>
      <w:r>
        <w:rPr>
          <w:rFonts w:ascii="Tahoma" w:hAnsi="Tahoma" w:cs="Tahoma"/>
          <w:color w:val="666666"/>
          <w:sz w:val="20"/>
          <w:szCs w:val="20"/>
        </w:rPr>
        <w:t>:</w:t>
      </w:r>
      <w:proofErr w:type="gramEnd"/>
      <w:r>
        <w:rPr>
          <w:rFonts w:ascii="Tahoma" w:hAnsi="Tahoma" w:cs="Tahoma"/>
          <w:color w:val="666666"/>
          <w:sz w:val="20"/>
          <w:szCs w:val="20"/>
        </w:rPr>
        <w:br/>
        <w:t>Lecture: Sustainable Development and Human Security</w:t>
      </w:r>
      <w:r>
        <w:rPr>
          <w:rFonts w:ascii="Tahoma" w:hAnsi="Tahoma" w:cs="Tahoma"/>
          <w:color w:val="666666"/>
          <w:sz w:val="20"/>
          <w:szCs w:val="20"/>
        </w:rPr>
        <w:br/>
        <w:t>Seminar: Development Fads and Fancies</w:t>
      </w:r>
      <w:r>
        <w:rPr>
          <w:rFonts w:ascii="Tahoma" w:hAnsi="Tahoma" w:cs="Tahoma"/>
          <w:color w:val="666666"/>
          <w:sz w:val="20"/>
          <w:szCs w:val="20"/>
        </w:rPr>
        <w:br/>
        <w:t>Workshop: Active Learning Approaches 2</w:t>
      </w:r>
    </w:p>
    <w:p w:rsidR="002A6ED9" w:rsidRDefault="002A6ED9" w:rsidP="002A6ED9">
      <w:pPr>
        <w:pStyle w:val="NormalWeb"/>
        <w:shd w:val="clear" w:color="auto" w:fill="FFFFFF"/>
        <w:rPr>
          <w:rFonts w:ascii="Tahoma" w:hAnsi="Tahoma" w:cs="Tahoma"/>
          <w:color w:val="666666"/>
          <w:sz w:val="20"/>
          <w:szCs w:val="20"/>
        </w:rPr>
      </w:pPr>
    </w:p>
    <w:p w:rsidR="002A6ED9" w:rsidRDefault="002A6ED9" w:rsidP="002A6ED9">
      <w:pPr>
        <w:pStyle w:val="NormalWeb"/>
        <w:shd w:val="clear" w:color="auto" w:fill="FFFFFF"/>
        <w:rPr>
          <w:rFonts w:ascii="Tahoma" w:hAnsi="Tahoma" w:cs="Tahoma"/>
          <w:color w:val="666666"/>
          <w:sz w:val="20"/>
          <w:szCs w:val="20"/>
        </w:rPr>
      </w:pP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lastRenderedPageBreak/>
        <w:t>Friday, July 20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Pioneering Human Development: The UNDP at Work</w:t>
      </w:r>
      <w:r>
        <w:rPr>
          <w:rFonts w:ascii="Tahoma" w:hAnsi="Tahoma" w:cs="Tahoma"/>
          <w:color w:val="666666"/>
          <w:sz w:val="20"/>
          <w:szCs w:val="20"/>
        </w:rPr>
        <w:br/>
        <w:t>Seminar: The World Bank and Partnerships for Development</w:t>
      </w:r>
      <w:r>
        <w:rPr>
          <w:rFonts w:ascii="Tahoma" w:hAnsi="Tahoma" w:cs="Tahoma"/>
          <w:color w:val="666666"/>
          <w:sz w:val="20"/>
          <w:szCs w:val="20"/>
        </w:rPr>
        <w:br/>
        <w:t>Individual Research Consultations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Monday, July 23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Along the Domestic-Foreign Frontier</w:t>
      </w:r>
      <w:r>
        <w:rPr>
          <w:rFonts w:ascii="Tahoma" w:hAnsi="Tahoma" w:cs="Tahoma"/>
          <w:color w:val="666666"/>
          <w:sz w:val="20"/>
          <w:szCs w:val="20"/>
        </w:rPr>
        <w:br/>
        <w:t>Seminar: Citizenship in a Changing Global Order</w:t>
      </w:r>
      <w:r>
        <w:rPr>
          <w:rFonts w:ascii="Tahoma" w:hAnsi="Tahoma" w:cs="Tahoma"/>
          <w:color w:val="666666"/>
          <w:sz w:val="20"/>
          <w:szCs w:val="20"/>
        </w:rPr>
        <w:br/>
        <w:t>Workshop: Active Learning Approaches 3</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Tuesday, July 24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Governance without Government</w:t>
      </w:r>
      <w:r>
        <w:rPr>
          <w:rFonts w:ascii="Tahoma" w:hAnsi="Tahoma" w:cs="Tahoma"/>
          <w:color w:val="666666"/>
          <w:sz w:val="20"/>
          <w:szCs w:val="20"/>
        </w:rPr>
        <w:br/>
        <w:t>Seminar: Ethics, Morality, and the Dark Side of Globalization</w:t>
      </w:r>
      <w:r>
        <w:rPr>
          <w:rFonts w:ascii="Tahoma" w:hAnsi="Tahoma" w:cs="Tahoma"/>
          <w:color w:val="666666"/>
          <w:sz w:val="20"/>
          <w:szCs w:val="20"/>
        </w:rPr>
        <w:br/>
        <w:t xml:space="preserve">“An Informal Conversation with James </w:t>
      </w:r>
      <w:proofErr w:type="spellStart"/>
      <w:r>
        <w:rPr>
          <w:rFonts w:ascii="Tahoma" w:hAnsi="Tahoma" w:cs="Tahoma"/>
          <w:color w:val="666666"/>
          <w:sz w:val="20"/>
          <w:szCs w:val="20"/>
        </w:rPr>
        <w:t>Rosenau</w:t>
      </w:r>
      <w:proofErr w:type="spellEnd"/>
      <w:r>
        <w:rPr>
          <w:rFonts w:ascii="Tahoma" w:hAnsi="Tahoma" w:cs="Tahoma"/>
          <w:color w:val="666666"/>
          <w:sz w:val="20"/>
          <w:szCs w:val="20"/>
        </w:rPr>
        <w:t>”</w:t>
      </w:r>
      <w:r>
        <w:rPr>
          <w:rFonts w:ascii="Tahoma" w:hAnsi="Tahoma" w:cs="Tahoma"/>
          <w:color w:val="666666"/>
          <w:sz w:val="20"/>
          <w:szCs w:val="20"/>
        </w:rPr>
        <w:br/>
        <w:t>Second Annual Distinguished Scholar Reception</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Wednesday, July 25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Group Presentation Preparation Day</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Thursday, July 26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Participants’ Project Panel Presentations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Friday, July 27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Participants’ Project Panel Presentations</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Monday, July 30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Participants’ Project Panel Presentations</w:t>
      </w:r>
      <w:r>
        <w:rPr>
          <w:rFonts w:ascii="Tahoma" w:hAnsi="Tahoma" w:cs="Tahoma"/>
          <w:color w:val="666666"/>
          <w:sz w:val="20"/>
          <w:szCs w:val="20"/>
        </w:rPr>
        <w:br/>
        <w:t>Completed Research Designs are due at 10:30 a.m.</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Tuesday, July 31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Special Session at the Hungarian Academy of Sciences</w:t>
      </w:r>
      <w:proofErr w:type="gramStart"/>
      <w:r>
        <w:rPr>
          <w:rFonts w:ascii="Tahoma" w:hAnsi="Tahoma" w:cs="Tahoma"/>
          <w:color w:val="666666"/>
          <w:sz w:val="20"/>
          <w:szCs w:val="20"/>
        </w:rPr>
        <w:t>:</w:t>
      </w:r>
      <w:proofErr w:type="gramEnd"/>
      <w:r>
        <w:rPr>
          <w:rFonts w:ascii="Tahoma" w:hAnsi="Tahoma" w:cs="Tahoma"/>
          <w:color w:val="666666"/>
          <w:sz w:val="20"/>
          <w:szCs w:val="20"/>
        </w:rPr>
        <w:br/>
        <w:t>“Critical Issues of the 21st Century and the Responses”</w:t>
      </w:r>
      <w:r>
        <w:rPr>
          <w:rFonts w:ascii="Tahoma" w:hAnsi="Tahoma" w:cs="Tahoma"/>
          <w:color w:val="666666"/>
          <w:sz w:val="20"/>
          <w:szCs w:val="20"/>
        </w:rPr>
        <w:br/>
        <w:t>Workshop: The Internet as a Grant-seeking Tool</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Wednesday, August 1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Lecture: The UN and the Challenge of Relevance</w:t>
      </w:r>
      <w:r>
        <w:rPr>
          <w:rFonts w:ascii="Tahoma" w:hAnsi="Tahoma" w:cs="Tahoma"/>
          <w:color w:val="666666"/>
          <w:sz w:val="20"/>
          <w:szCs w:val="20"/>
        </w:rPr>
        <w:br/>
        <w:t>Seminar: United Nations Reform as a Political Issue</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Thursday, August 2 </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lastRenderedPageBreak/>
        <w:t>Lecture: Kofi Annan’s “Quiet Revolution”</w:t>
      </w:r>
      <w:r>
        <w:rPr>
          <w:rFonts w:ascii="Tahoma" w:hAnsi="Tahoma" w:cs="Tahoma"/>
          <w:color w:val="666666"/>
          <w:sz w:val="20"/>
          <w:szCs w:val="20"/>
        </w:rPr>
        <w:br/>
        <w:t>Completed Syllabi/Briefing Papers are due at 16:00 [4:00 p.m.]</w:t>
      </w:r>
    </w:p>
    <w:p w:rsidR="002A6ED9" w:rsidRDefault="002A6ED9" w:rsidP="002A6ED9">
      <w:pPr>
        <w:pStyle w:val="NormalWeb"/>
        <w:shd w:val="clear" w:color="auto" w:fill="FFFFFF"/>
        <w:rPr>
          <w:rFonts w:ascii="Tahoma" w:hAnsi="Tahoma" w:cs="Tahoma"/>
          <w:color w:val="666666"/>
          <w:sz w:val="27"/>
          <w:szCs w:val="27"/>
        </w:rPr>
      </w:pPr>
      <w:r>
        <w:rPr>
          <w:rFonts w:ascii="Tahoma" w:hAnsi="Tahoma" w:cs="Tahoma"/>
          <w:color w:val="666666"/>
          <w:sz w:val="20"/>
          <w:szCs w:val="20"/>
        </w:rPr>
        <w:t>Friday, August 3  </w:t>
      </w:r>
    </w:p>
    <w:p w:rsidR="006C40B4" w:rsidRDefault="002A6ED9" w:rsidP="002A6ED9">
      <w:pPr>
        <w:pStyle w:val="NormalWeb"/>
        <w:shd w:val="clear" w:color="auto" w:fill="FFFFFF"/>
      </w:pPr>
      <w:r>
        <w:rPr>
          <w:rFonts w:ascii="Tahoma" w:hAnsi="Tahoma" w:cs="Tahoma"/>
          <w:color w:val="666666"/>
          <w:sz w:val="20"/>
          <w:szCs w:val="20"/>
        </w:rPr>
        <w:t>Seminar: Final Thoughts: The Future of Global Governance</w:t>
      </w:r>
      <w:r>
        <w:rPr>
          <w:rFonts w:ascii="Tahoma" w:hAnsi="Tahoma" w:cs="Tahoma"/>
          <w:color w:val="666666"/>
          <w:sz w:val="20"/>
          <w:szCs w:val="20"/>
        </w:rPr>
        <w:br/>
        <w:t>Farewell dinner Cruise</w:t>
      </w:r>
      <w:r>
        <w:rPr>
          <w:rFonts w:ascii="Tahoma" w:hAnsi="Tahoma" w:cs="Tahoma"/>
          <w:color w:val="666666"/>
          <w:sz w:val="20"/>
          <w:szCs w:val="20"/>
        </w:rPr>
        <w:br/>
        <w:t> </w:t>
      </w:r>
    </w:p>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ED9"/>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A6ED9"/>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66C11"/>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47E57"/>
    <w:rsid w:val="0065193F"/>
    <w:rsid w:val="00657FD3"/>
    <w:rsid w:val="006605AC"/>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0FD8"/>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759437">
      <w:bodyDiv w:val="1"/>
      <w:marLeft w:val="0"/>
      <w:marRight w:val="0"/>
      <w:marTop w:val="0"/>
      <w:marBottom w:val="0"/>
      <w:divBdr>
        <w:top w:val="none" w:sz="0" w:space="0" w:color="auto"/>
        <w:left w:val="none" w:sz="0" w:space="0" w:color="auto"/>
        <w:bottom w:val="none" w:sz="0" w:space="0" w:color="auto"/>
        <w:right w:val="none" w:sz="0" w:space="0" w:color="auto"/>
      </w:divBdr>
      <w:divsChild>
        <w:div w:id="129243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5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2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8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52390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45961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9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80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79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9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2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3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61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0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83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37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1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9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E969F2-E165-41BD-86FB-1F817F6B1E8B}"/>
</file>

<file path=customXml/itemProps2.xml><?xml version="1.0" encoding="utf-8"?>
<ds:datastoreItem xmlns:ds="http://schemas.openxmlformats.org/officeDocument/2006/customXml" ds:itemID="{3E8EDCC8-CEA3-4DC9-9EA5-AFEC4629E2C7}"/>
</file>

<file path=customXml/itemProps3.xml><?xml version="1.0" encoding="utf-8"?>
<ds:datastoreItem xmlns:ds="http://schemas.openxmlformats.org/officeDocument/2006/customXml" ds:itemID="{E87DEA62-2874-478A-913A-9954EED7EB97}"/>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2013-12-03T09:34:00Z</dcterms:created>
  <dcterms:modified xsi:type="dcterms:W3CDTF">2013-12-03T09:36:00Z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